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C873" w14:textId="5703CE7E" w:rsidR="00E2500A" w:rsidRPr="00E2500A" w:rsidRDefault="00E2500A" w:rsidP="0009130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2500A">
        <w:rPr>
          <w:rFonts w:ascii="Arial" w:hAnsi="Arial" w:cs="Arial"/>
          <w:b/>
          <w:bCs/>
          <w:sz w:val="36"/>
          <w:szCs w:val="36"/>
        </w:rPr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</w:p>
    <w:p w14:paraId="495BB153" w14:textId="77777777" w:rsidR="009D036B" w:rsidRDefault="009D036B" w:rsidP="00425AA0">
      <w:pPr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1DD8AF56" w14:textId="76CF0F39" w:rsidR="00E2500A" w:rsidRPr="009D036B" w:rsidRDefault="009D036B" w:rsidP="009D036B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9B6619A" w14:textId="77777777" w:rsidR="0092588D" w:rsidRDefault="0092588D" w:rsidP="00E50799">
            <w:pPr>
              <w:pStyle w:val="NormalWeb"/>
              <w:spacing w:before="0" w:beforeAutospacing="0" w:after="0" w:afterAutospacing="0"/>
              <w:rPr>
                <w:b/>
                <w:bCs/>
                <w:color w:val="29261B"/>
              </w:rPr>
            </w:pPr>
          </w:p>
          <w:p w14:paraId="3C1FB7FD" w14:textId="0F757FD9" w:rsidR="00425AA0" w:rsidRPr="00E50799" w:rsidRDefault="00425AA0" w:rsidP="00E50799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25AA0">
              <w:rPr>
                <w:b/>
                <w:bCs/>
                <w:color w:val="29261B"/>
              </w:rPr>
              <w:t xml:space="preserve">Age, Coping and Well-Being in Black LGBTQ+ </w:t>
            </w:r>
            <w:proofErr w:type="gramStart"/>
            <w:r w:rsidRPr="00425AA0">
              <w:rPr>
                <w:b/>
                <w:bCs/>
                <w:color w:val="29261B"/>
              </w:rPr>
              <w:t>Adults</w:t>
            </w:r>
            <w:proofErr w:type="gramEnd"/>
          </w:p>
          <w:p w14:paraId="5CBBA6BD" w14:textId="77777777" w:rsidR="6A91B6E7" w:rsidRDefault="00E50799" w:rsidP="00C81BFC"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color w:val="000000" w:themeColor="text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Miya C. Tate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oMath>
            <w:r w:rsidR="000C1B31" w:rsidRPr="00425AA0">
              <w:t xml:space="preserve">; </w:t>
            </w:r>
            <w:r w:rsidR="007A6A7A" w:rsidRPr="00425AA0">
              <w:t>Keith J.</w:t>
            </w:r>
            <w:r w:rsidR="000C1B31" w:rsidRPr="00425AA0">
              <w:t xml:space="preserve"> </w:t>
            </w:r>
            <w:r w:rsidR="007A6A7A" w:rsidRPr="00425AA0">
              <w:t>Watt</w:t>
            </w:r>
            <w:r w:rsidR="000C1B31" w:rsidRPr="00425AA0">
              <w:t>s</w:t>
            </w:r>
            <w:r>
              <w:rPr>
                <w:vertAlign w:val="superscript"/>
              </w:rPr>
              <w:t>2</w:t>
            </w:r>
            <w:r w:rsidR="000C1B31" w:rsidRPr="00425AA0">
              <w:t>;</w:t>
            </w:r>
            <w:r w:rsidR="007A6A7A" w:rsidRPr="00425AA0">
              <w:t xml:space="preserve"> </w:t>
            </w:r>
            <w:proofErr w:type="spellStart"/>
            <w:r w:rsidR="007A6A7A" w:rsidRPr="00425AA0">
              <w:t>Shawndaya</w:t>
            </w:r>
            <w:proofErr w:type="spellEnd"/>
            <w:r w:rsidR="007A6A7A" w:rsidRPr="00425AA0">
              <w:t xml:space="preserve"> S. Thrasher</w:t>
            </w:r>
            <w:r>
              <w:rPr>
                <w:vertAlign w:val="superscript"/>
              </w:rPr>
              <w:t>3</w:t>
            </w:r>
            <w:r w:rsidR="000C1B31" w:rsidRPr="00425AA0">
              <w:t xml:space="preserve">; &amp; </w:t>
            </w:r>
            <w:r w:rsidR="007A6A7A" w:rsidRPr="00425AA0">
              <w:t>Stephen Phillippi</w:t>
            </w:r>
            <w:r>
              <w:rPr>
                <w:vertAlign w:val="superscript"/>
              </w:rPr>
              <w:t>1</w:t>
            </w:r>
            <w:r w:rsidR="007A6A7A" w:rsidRPr="00425AA0">
              <w:t xml:space="preserve"> </w:t>
            </w:r>
          </w:p>
          <w:p w14:paraId="1EC92B77" w14:textId="70AFDCC3" w:rsidR="00E50799" w:rsidRDefault="00E50799" w:rsidP="00C81BFC">
            <w:r>
              <w:rPr>
                <w:vertAlign w:val="superscript"/>
              </w:rPr>
              <w:t>1</w:t>
            </w:r>
            <w:r>
              <w:t xml:space="preserve">Louisiana State University Health Sciences Center, </w:t>
            </w:r>
            <w:r w:rsidR="0092588D">
              <w:rPr>
                <w:vertAlign w:val="superscript"/>
              </w:rPr>
              <w:t>2</w:t>
            </w:r>
            <w:r>
              <w:t xml:space="preserve">University of Kentucky, </w:t>
            </w:r>
          </w:p>
          <w:p w14:paraId="0B8FDCC6" w14:textId="2FAC2FF0" w:rsidR="00E50799" w:rsidRPr="00E50799" w:rsidRDefault="00E50799" w:rsidP="00C81BFC">
            <w:pPr>
              <w:rPr>
                <w:rFonts w:eastAsia="Arial"/>
                <w:b/>
                <w:bCs/>
                <w:sz w:val="26"/>
                <w:szCs w:val="26"/>
              </w:rPr>
            </w:pPr>
            <w:r>
              <w:t xml:space="preserve"> </w:t>
            </w:r>
            <w:r w:rsidR="0092588D">
              <w:rPr>
                <w:vertAlign w:val="superscript"/>
              </w:rPr>
              <w:t>3</w:t>
            </w:r>
            <w:r>
              <w:t xml:space="preserve">Louisiana State University </w:t>
            </w:r>
          </w:p>
        </w:tc>
      </w:tr>
      <w:tr w:rsidR="48851DD5" w14:paraId="1CA0FEF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</w:tbl>
    <w:p w14:paraId="0B0301FB" w14:textId="77777777" w:rsidR="0092588D" w:rsidRDefault="00425AA0" w:rsidP="00425AA0">
      <w:r>
        <w:rPr>
          <w:b/>
        </w:rPr>
        <w:t>Backgroun</w:t>
      </w:r>
      <w:r w:rsidR="0092588D">
        <w:rPr>
          <w:b/>
        </w:rPr>
        <w:t>d</w:t>
      </w:r>
      <w:r>
        <w:rPr>
          <w:b/>
        </w:rPr>
        <w:t xml:space="preserve">: </w:t>
      </w:r>
      <w:r>
        <w:t xml:space="preserve">Black LGBTQ+ individuals face intersecting forms of prejudice and discrimination, which can negatively impact their well-being. While research suggests a positive relationship between age and well-being among the LGBTQ+ population in general, this association has not been explicitly examined within the Black LGBTQ+ community. Adaptive coping strategies are known to promote well-being, but their role in moderating the age-well-being relationship among Black LGBTQ+ individuals </w:t>
      </w:r>
      <w:proofErr w:type="gramStart"/>
      <w:r>
        <w:t>remains</w:t>
      </w:r>
      <w:proofErr w:type="gramEnd"/>
      <w:r>
        <w:t xml:space="preserve"> unexplored. </w:t>
      </w:r>
    </w:p>
    <w:p w14:paraId="0E40F6C5" w14:textId="77777777" w:rsidR="0092588D" w:rsidRDefault="0092588D" w:rsidP="00425AA0"/>
    <w:p w14:paraId="28D2513F" w14:textId="72F79732" w:rsidR="00425AA0" w:rsidRDefault="0092588D" w:rsidP="00425AA0">
      <w:r w:rsidRPr="0092588D">
        <w:rPr>
          <w:b/>
          <w:bCs/>
        </w:rPr>
        <w:t>Objectives</w:t>
      </w:r>
      <w:r>
        <w:t xml:space="preserve">: </w:t>
      </w:r>
      <w:r w:rsidR="00425AA0">
        <w:t>This study investigated the association between age and well-being in Black LGBTQ+ adults and whether adaptive coping moderated this relationship.</w:t>
      </w:r>
    </w:p>
    <w:p w14:paraId="2783AEE3" w14:textId="77777777" w:rsidR="00425AA0" w:rsidRDefault="00425AA0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</w:pPr>
      <w:r>
        <w:rPr>
          <w:b/>
        </w:rPr>
        <w:t xml:space="preserve">Methods: </w:t>
      </w:r>
      <w:r>
        <w:t xml:space="preserve">A sample of 317 Black LGBTQ adults (18-64 years of age; </w:t>
      </w:r>
      <w:r>
        <w:rPr>
          <w:i/>
        </w:rPr>
        <w:t>M</w:t>
      </w:r>
      <w:r>
        <w:t xml:space="preserve">=27.00) was drawn from a United States mixed-methods online survey on sense of belongingness to identity-based minority communities, minority stress, and well-being. </w:t>
      </w:r>
      <w:r>
        <w:rPr>
          <w:i/>
        </w:rPr>
        <w:t>Adaptive coping</w:t>
      </w:r>
      <w:r>
        <w:rPr>
          <w:b/>
          <w:i/>
        </w:rPr>
        <w:t xml:space="preserve"> </w:t>
      </w:r>
      <w:r>
        <w:t>was measured with the adaptive coping subscale (α=.813) of the Brief COPE instrument, assessing the frequency of coping responses.</w:t>
      </w:r>
      <w:r>
        <w:rPr>
          <w:i/>
        </w:rPr>
        <w:t xml:space="preserve"> </w:t>
      </w:r>
      <w:r>
        <w:t xml:space="preserve">SWB </w:t>
      </w:r>
      <w:r>
        <w:rPr>
          <w:i/>
        </w:rPr>
        <w:t>(α</w:t>
      </w:r>
      <w:r>
        <w:t>=.893) was measured as a total score using the 14-item Mental Health Continuum—Short Form, assessing participants’ SWB in the past two weeks. Covariates included income, education, and employment.</w:t>
      </w:r>
    </w:p>
    <w:p w14:paraId="01D8FB82" w14:textId="7BF5601F" w:rsidR="00425AA0" w:rsidRDefault="00425AA0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</w:pPr>
      <w:r>
        <w:rPr>
          <w:b/>
        </w:rPr>
        <w:t>Results</w:t>
      </w:r>
      <w:r>
        <w:t xml:space="preserve">: Multiple linear regression (MLR) suggested that there is a direct, positive association between well-being and age </w:t>
      </w:r>
      <w:r>
        <w:rPr>
          <w:i/>
        </w:rPr>
        <w:t>(B</w:t>
      </w:r>
      <w:r>
        <w:t>=.</w:t>
      </w:r>
      <w:proofErr w:type="gramStart"/>
      <w:r>
        <w:t>207,</w:t>
      </w:r>
      <w:r>
        <w:rPr>
          <w:i/>
        </w:rPr>
        <w:t>p</w:t>
      </w:r>
      <w:proofErr w:type="gramEnd"/>
      <w:r>
        <w:t>=&lt;.001) and adaptive coping (</w:t>
      </w:r>
      <w:r>
        <w:rPr>
          <w:i/>
        </w:rPr>
        <w:t>B</w:t>
      </w:r>
      <w:r>
        <w:t>=.194,</w:t>
      </w:r>
      <w:r>
        <w:rPr>
          <w:i/>
        </w:rPr>
        <w:t>p</w:t>
      </w:r>
      <w:r>
        <w:t>=.001). However, MLR moderation analysis showed that adaptive coping did not moderate the relationship between age and well-being (</w:t>
      </w:r>
      <w:r>
        <w:rPr>
          <w:i/>
        </w:rPr>
        <w:t>B</w:t>
      </w:r>
      <w:r>
        <w:t>=.</w:t>
      </w:r>
      <w:proofErr w:type="gramStart"/>
      <w:r>
        <w:t>093;</w:t>
      </w:r>
      <w:r>
        <w:rPr>
          <w:i/>
        </w:rPr>
        <w:t>p</w:t>
      </w:r>
      <w:proofErr w:type="gramEnd"/>
      <w:r>
        <w:t>=.108). Income, education, and employment were not statistically significant.</w:t>
      </w:r>
    </w:p>
    <w:p w14:paraId="071CC3EB" w14:textId="77777777" w:rsidR="0092588D" w:rsidRDefault="00425AA0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</w:pPr>
      <w:r>
        <w:rPr>
          <w:b/>
        </w:rPr>
        <w:t>Conclusion</w:t>
      </w:r>
      <w:r>
        <w:t xml:space="preserve">: The findings reveal that older Black LGBTQ+ adults experienced greater subjective well-being than their younger counterparts. However, adaptive coping did not moderate the positive association between age and well-being in this population. These results highlight the importance of considering age-related factors contributing to enhanced well-being among Black LGBTQ+ individuals. </w:t>
      </w:r>
    </w:p>
    <w:p w14:paraId="7C3550D0" w14:textId="5730889A" w:rsidR="00425AA0" w:rsidRDefault="0092588D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</w:pPr>
      <w:r w:rsidRPr="0092588D">
        <w:rPr>
          <w:b/>
          <w:bCs/>
        </w:rPr>
        <w:t>Recommendations</w:t>
      </w:r>
      <w:r>
        <w:t>:</w:t>
      </w:r>
      <w:r w:rsidRPr="0092588D">
        <w:t xml:space="preserve"> </w:t>
      </w:r>
      <w:r w:rsidRPr="0092588D">
        <w:t xml:space="preserve">Future research should explore potential moderators/mediators across subgroups within this intersectional community. Strengths-based, </w:t>
      </w:r>
      <w:r w:rsidRPr="0092588D">
        <w:t>culturally responsive</w:t>
      </w:r>
      <w:r w:rsidRPr="0092588D">
        <w:t xml:space="preserve"> practices supporting lifelong well-being are crucial.</w:t>
      </w:r>
      <w:r>
        <w:t xml:space="preserve"> P</w:t>
      </w:r>
      <w:r w:rsidR="00425AA0">
        <w:t>olicy implications</w:t>
      </w:r>
      <w:r>
        <w:t xml:space="preserve"> and </w:t>
      </w:r>
      <w:r w:rsidR="00425AA0">
        <w:t>interventions are further discussed.</w:t>
      </w:r>
    </w:p>
    <w:p w14:paraId="2278B869" w14:textId="0E328C58" w:rsidR="00425AA0" w:rsidRDefault="00425AA0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</w:pPr>
      <w:r>
        <w:t>IRB#: N/A</w:t>
      </w:r>
    </w:p>
    <w:p w14:paraId="13362429" w14:textId="33184E31" w:rsidR="3B858998" w:rsidRPr="00425AA0" w:rsidRDefault="00425AA0" w:rsidP="00425AA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before="120" w:after="120"/>
        <w:rPr>
          <w:rStyle w:val="Style1"/>
          <w:b/>
        </w:rPr>
      </w:pPr>
      <w:r>
        <w:rPr>
          <w:b/>
        </w:rPr>
        <w:t xml:space="preserve">Word Count: </w:t>
      </w:r>
      <w:r w:rsidR="0092588D">
        <w:rPr>
          <w:b/>
        </w:rPr>
        <w:t>300</w:t>
      </w:r>
    </w:p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DF425D"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3914" w14:textId="77777777" w:rsidR="0069321B" w:rsidRDefault="0069321B">
      <w:r>
        <w:separator/>
      </w:r>
    </w:p>
  </w:endnote>
  <w:endnote w:type="continuationSeparator" w:id="0">
    <w:p w14:paraId="52A98C41" w14:textId="77777777" w:rsidR="0069321B" w:rsidRDefault="0069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3BBE" w14:textId="77777777" w:rsidR="0069321B" w:rsidRDefault="0069321B">
      <w:r>
        <w:separator/>
      </w:r>
    </w:p>
  </w:footnote>
  <w:footnote w:type="continuationSeparator" w:id="0">
    <w:p w14:paraId="70CE7479" w14:textId="77777777" w:rsidR="0069321B" w:rsidRDefault="0069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703809">
    <w:abstractNumId w:val="9"/>
  </w:num>
  <w:num w:numId="2" w16cid:durableId="389350163">
    <w:abstractNumId w:val="7"/>
  </w:num>
  <w:num w:numId="3" w16cid:durableId="968121885">
    <w:abstractNumId w:val="6"/>
  </w:num>
  <w:num w:numId="4" w16cid:durableId="536937090">
    <w:abstractNumId w:val="5"/>
  </w:num>
  <w:num w:numId="5" w16cid:durableId="1559710711">
    <w:abstractNumId w:val="4"/>
  </w:num>
  <w:num w:numId="6" w16cid:durableId="547304458">
    <w:abstractNumId w:val="8"/>
  </w:num>
  <w:num w:numId="7" w16cid:durableId="606698442">
    <w:abstractNumId w:val="3"/>
  </w:num>
  <w:num w:numId="8" w16cid:durableId="671760963">
    <w:abstractNumId w:val="2"/>
  </w:num>
  <w:num w:numId="9" w16cid:durableId="684207033">
    <w:abstractNumId w:val="1"/>
  </w:num>
  <w:num w:numId="10" w16cid:durableId="49106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4"/>
    <w:rsid w:val="000141A2"/>
    <w:rsid w:val="0005278F"/>
    <w:rsid w:val="0009130A"/>
    <w:rsid w:val="000A1488"/>
    <w:rsid w:val="000B7DA8"/>
    <w:rsid w:val="000C015A"/>
    <w:rsid w:val="000C1B31"/>
    <w:rsid w:val="000C43F0"/>
    <w:rsid w:val="000D28B9"/>
    <w:rsid w:val="000D2FDC"/>
    <w:rsid w:val="000E3CF1"/>
    <w:rsid w:val="000F2F1D"/>
    <w:rsid w:val="0013733D"/>
    <w:rsid w:val="00165240"/>
    <w:rsid w:val="0017007F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29BF"/>
    <w:rsid w:val="00422D2C"/>
    <w:rsid w:val="00425AA0"/>
    <w:rsid w:val="00427662"/>
    <w:rsid w:val="00452DEA"/>
    <w:rsid w:val="00475FA4"/>
    <w:rsid w:val="00493913"/>
    <w:rsid w:val="004B5B67"/>
    <w:rsid w:val="004B7359"/>
    <w:rsid w:val="005123B4"/>
    <w:rsid w:val="00517A98"/>
    <w:rsid w:val="00530AAD"/>
    <w:rsid w:val="0053219A"/>
    <w:rsid w:val="00567742"/>
    <w:rsid w:val="00567BB5"/>
    <w:rsid w:val="00575B10"/>
    <w:rsid w:val="005B2344"/>
    <w:rsid w:val="005C1E08"/>
    <w:rsid w:val="005F4F00"/>
    <w:rsid w:val="0061751D"/>
    <w:rsid w:val="00625B45"/>
    <w:rsid w:val="00627C8F"/>
    <w:rsid w:val="006308D8"/>
    <w:rsid w:val="00643A94"/>
    <w:rsid w:val="00650B2F"/>
    <w:rsid w:val="006559A5"/>
    <w:rsid w:val="0069321B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A6A7A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788D"/>
    <w:rsid w:val="00925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B26817"/>
    <w:rsid w:val="00B76823"/>
    <w:rsid w:val="00B7784B"/>
    <w:rsid w:val="00B95C7A"/>
    <w:rsid w:val="00BD0BBB"/>
    <w:rsid w:val="00BE5304"/>
    <w:rsid w:val="00C41A49"/>
    <w:rsid w:val="00C52089"/>
    <w:rsid w:val="00C63364"/>
    <w:rsid w:val="00C81BFC"/>
    <w:rsid w:val="00C833FF"/>
    <w:rsid w:val="00CA7CAB"/>
    <w:rsid w:val="00CC2ADC"/>
    <w:rsid w:val="00CD421C"/>
    <w:rsid w:val="00CE2C65"/>
    <w:rsid w:val="00CF13D7"/>
    <w:rsid w:val="00D12684"/>
    <w:rsid w:val="00D27A70"/>
    <w:rsid w:val="00D3298A"/>
    <w:rsid w:val="00D73333"/>
    <w:rsid w:val="00DA2D5A"/>
    <w:rsid w:val="00DB22B1"/>
    <w:rsid w:val="00DB3CF0"/>
    <w:rsid w:val="00DC5D18"/>
    <w:rsid w:val="00DF425D"/>
    <w:rsid w:val="00E027DD"/>
    <w:rsid w:val="00E2500A"/>
    <w:rsid w:val="00E345F4"/>
    <w:rsid w:val="00E50799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paragraph" w:styleId="NormalWeb">
    <w:name w:val="Normal (Web)"/>
    <w:basedOn w:val="Normal"/>
    <w:uiPriority w:val="99"/>
    <w:unhideWhenUsed/>
    <w:rsid w:val="0042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C:\Users\jsturt\Desktop\ABSTRACT SUBMISSION FORM.dotx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Miya C Tate</cp:lastModifiedBy>
  <cp:revision>2</cp:revision>
  <cp:lastPrinted>2002-01-24T22:21:00Z</cp:lastPrinted>
  <dcterms:created xsi:type="dcterms:W3CDTF">2024-03-18T19:16:00Z</dcterms:created>
  <dcterms:modified xsi:type="dcterms:W3CDTF">2024-03-18T19:16:00Z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</Properties>
</file>