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892C9" w14:textId="7248E6C4" w:rsidR="009D036B" w:rsidRPr="00CF5B2D" w:rsidRDefault="00A45355" w:rsidP="00CF5B2D">
      <w:pPr>
        <w:rPr>
          <w:rFonts w:ascii="Arial" w:eastAsia="Arial" w:hAnsi="Arial" w:cs="Arial"/>
          <w:b/>
          <w:bCs/>
          <w:sz w:val="32"/>
          <w:szCs w:val="32"/>
        </w:rPr>
      </w:pPr>
      <w:r w:rsidRPr="009D036B">
        <w:rPr>
          <w:rFonts w:ascii="Arial" w:eastAsia="Arial" w:hAnsi="Arial" w:cs="Arial"/>
          <w:b/>
          <w:bCs/>
          <w:sz w:val="32"/>
          <w:szCs w:val="32"/>
        </w:rPr>
        <w:t>N</w:t>
      </w:r>
      <w:r w:rsidR="009D036B">
        <w:rPr>
          <w:rFonts w:ascii="Arial" w:eastAsia="Arial" w:hAnsi="Arial" w:cs="Arial"/>
          <w:b/>
          <w:bCs/>
          <w:sz w:val="32"/>
          <w:szCs w:val="32"/>
        </w:rPr>
        <w:t xml:space="preserve">ON-RESEARCH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>- Project</w:t>
      </w:r>
      <w:r w:rsidR="009D036B">
        <w:rPr>
          <w:rFonts w:ascii="Arial" w:eastAsia="Arial" w:hAnsi="Arial" w:cs="Arial"/>
          <w:b/>
          <w:bCs/>
          <w:sz w:val="32"/>
          <w:szCs w:val="32"/>
        </w:rPr>
        <w:t>/Program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 Description</w:t>
      </w:r>
      <w:r w:rsidR="23709610" w:rsidRPr="009D036B">
        <w:rPr>
          <w:rFonts w:ascii="Arial" w:eastAsia="Arial" w:hAnsi="Arial" w:cs="Arial"/>
          <w:b/>
          <w:bCs/>
          <w:sz w:val="32"/>
          <w:szCs w:val="32"/>
        </w:rPr>
        <w:t xml:space="preserve">, </w:t>
      </w:r>
      <w:r w:rsidRPr="009D036B">
        <w:rPr>
          <w:rFonts w:ascii="Arial" w:eastAsia="Arial" w:hAnsi="Arial" w:cs="Arial"/>
          <w:b/>
          <w:bCs/>
          <w:sz w:val="32"/>
          <w:szCs w:val="32"/>
        </w:rPr>
        <w:t xml:space="preserve">Policy </w:t>
      </w:r>
    </w:p>
    <w:tbl>
      <w:tblPr>
        <w:tblStyle w:val="TableGrid"/>
        <w:tblW w:w="0" w:type="auto"/>
        <w:tblBorders>
          <w:top w:val="single" w:sz="6" w:space="0" w:color="000000" w:themeColor="text1"/>
          <w:bottom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360"/>
      </w:tblGrid>
      <w:tr w:rsidR="48851DD5" w:rsidRPr="009D036B" w14:paraId="5EDC7A54" w14:textId="77777777" w:rsidTr="00DA421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9FBEC4" w14:textId="77777777" w:rsidR="009D036B" w:rsidRDefault="00A45355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Summary, 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Case Study, </w:t>
            </w:r>
            <w:r w:rsidR="23709610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Practice Project</w:t>
            </w:r>
            <w:r w:rsidR="009D036B"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(that was not</w:t>
            </w:r>
            <w:r w:rsid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1C25B32C" w14:textId="77777777" w:rsidR="00325FE3" w:rsidRDefault="009D036B" w:rsidP="00325FE3">
            <w:pPr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research-</w:t>
            </w:r>
            <w:r w:rsidRPr="009D036B">
              <w:rPr>
                <w:rFonts w:ascii="Arial" w:eastAsia="Arial" w:hAnsi="Arial" w:cs="Arial"/>
                <w:b/>
                <w:bCs/>
                <w:sz w:val="32"/>
                <w:szCs w:val="32"/>
              </w:rPr>
              <w:t>associated)</w:t>
            </w:r>
          </w:p>
          <w:p w14:paraId="398F485C" w14:textId="2744F989" w:rsidR="48851DD5" w:rsidRPr="009D036B" w:rsidRDefault="009D036B" w:rsidP="00325FE3">
            <w:pPr>
              <w:rPr>
                <w:rFonts w:asciiTheme="minorHAnsi" w:hAnsiTheme="minorHAnsi" w:cstheme="minorHAnsi"/>
              </w:rPr>
            </w:pPr>
            <w:r w:rsidRPr="009D036B">
              <w:rPr>
                <w:rStyle w:val="Style2"/>
                <w:rFonts w:asciiTheme="minorHAnsi" w:hAnsiTheme="minorHAnsi" w:cstheme="minorHAnsi"/>
                <w:b w:val="0"/>
                <w:i/>
                <w:iCs/>
              </w:rPr>
              <w:t xml:space="preserve"> </w:t>
            </w:r>
          </w:p>
        </w:tc>
      </w:tr>
      <w:tr w:rsidR="00325FE3" w:rsidRPr="0024707B" w14:paraId="7E8C39DE" w14:textId="77777777" w:rsidTr="00DA421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EF62868" w14:textId="760A004F" w:rsidR="00325FE3" w:rsidRDefault="00A5131B" w:rsidP="00246668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4707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Rates of </w:t>
            </w:r>
            <w:r w:rsidR="00903C3C" w:rsidRPr="0024707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Molecular Testing for Colorectal Cancer Patients</w:t>
            </w:r>
            <w:r w:rsidR="00C864D5" w:rsidRPr="0024707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Demonstrate Disparities in Cancer </w:t>
            </w:r>
            <w:r w:rsidR="00314156" w:rsidRPr="0024707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Management</w:t>
            </w:r>
          </w:p>
          <w:p w14:paraId="78BADE3E" w14:textId="77777777" w:rsidR="0024707B" w:rsidRPr="0024707B" w:rsidRDefault="0024707B" w:rsidP="00246668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  <w:p w14:paraId="1281D899" w14:textId="18BF180A" w:rsidR="00325FE3" w:rsidRPr="0024707B" w:rsidRDefault="00325FE3" w:rsidP="002466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Authors and Affiliation</w:t>
            </w:r>
            <w:r w:rsidRPr="002470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7AC2" w:rsidRPr="0024707B">
              <w:rPr>
                <w:rFonts w:asciiTheme="minorHAnsi" w:hAnsiTheme="minorHAnsi" w:cstheme="minorHAnsi"/>
                <w:sz w:val="22"/>
                <w:szCs w:val="22"/>
              </w:rPr>
              <w:t>Benjamin Bienvenue; Myriah L</w:t>
            </w:r>
            <w:r w:rsidR="007B6155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egaux; Terry Birkhoff </w:t>
            </w:r>
          </w:p>
          <w:p w14:paraId="74410C92" w14:textId="588C1EAE" w:rsidR="00325FE3" w:rsidRPr="0024707B" w:rsidRDefault="00325FE3" w:rsidP="002466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48851DD5" w:rsidRPr="0024707B" w14:paraId="32834AC2" w14:textId="77777777" w:rsidTr="00DA421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B52646A" w14:textId="7FE8C2B1" w:rsidR="48851DD5" w:rsidRPr="0024707B" w:rsidRDefault="00325FE3" w:rsidP="00A453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Background:</w:t>
            </w:r>
            <w:r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323C30" w14:textId="7392ED9F" w:rsidR="00234FDE" w:rsidRPr="0024707B" w:rsidRDefault="008D38AC" w:rsidP="00E650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Since 2018, updated </w:t>
            </w:r>
            <w:r w:rsidR="00CE3DD1" w:rsidRPr="0024707B">
              <w:rPr>
                <w:rFonts w:asciiTheme="minorHAnsi" w:hAnsiTheme="minorHAnsi" w:cstheme="minorHAnsi"/>
                <w:sz w:val="22"/>
                <w:szCs w:val="22"/>
              </w:rPr>
              <w:t>guidelines for cancer prevention recommends that individuals under 50 years of age with newly diagnosed colorectal cancer (CRC) receive molecular testing for Lynch Syndrome</w:t>
            </w:r>
            <w:r w:rsidR="00931C58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, which </w:t>
            </w:r>
            <w:r w:rsidR="007D1FFF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predisposes to the development of other cancers. </w:t>
            </w:r>
            <w:r w:rsidR="00E73506" w:rsidRPr="0024707B">
              <w:rPr>
                <w:rFonts w:asciiTheme="minorHAnsi" w:hAnsiTheme="minorHAnsi" w:cstheme="minorHAnsi"/>
                <w:sz w:val="22"/>
                <w:szCs w:val="22"/>
              </w:rPr>
              <w:t>This project aims to investigate the rate of molecular testing for individual</w:t>
            </w:r>
            <w:r w:rsidR="00E67853" w:rsidRPr="0024707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3506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in Louisian</w:t>
            </w:r>
            <w:r w:rsidR="00E67853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a. The objective is to highlight </w:t>
            </w:r>
            <w:r w:rsidR="00290D4E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disparities in testing to direct future </w:t>
            </w:r>
            <w:r w:rsidR="0041650D" w:rsidRPr="0024707B">
              <w:rPr>
                <w:rFonts w:asciiTheme="minorHAnsi" w:hAnsiTheme="minorHAnsi" w:cstheme="minorHAnsi"/>
                <w:sz w:val="22"/>
                <w:szCs w:val="22"/>
              </w:rPr>
              <w:t>efforts by cancer outreach efforts in LA.</w:t>
            </w:r>
          </w:p>
          <w:p w14:paraId="563F96FE" w14:textId="77777777" w:rsidR="00325FE3" w:rsidRPr="0024707B" w:rsidRDefault="00325FE3" w:rsidP="00A4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F9FF4" w14:textId="7748BBD9" w:rsidR="007C0311" w:rsidRPr="0024707B" w:rsidRDefault="007C0311" w:rsidP="00DA4219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Description</w:t>
            </w:r>
            <w:r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  <w:r w:rsidR="00097556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>Data from Takin</w:t>
            </w:r>
            <w:r w:rsidR="008D2C47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>g</w:t>
            </w:r>
            <w:r w:rsidR="00097556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Aim at Cancer</w:t>
            </w:r>
            <w:r w:rsidR="00720536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>(TACL)’s</w:t>
            </w:r>
            <w:r w:rsidR="00097556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partner network</w:t>
            </w:r>
            <w:r w:rsidR="00D2739E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6288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>was collected</w:t>
            </w:r>
            <w:r w:rsidR="00D2739E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throughout the state to evaluate disparities between urban vs rural populations, racial groups, and Medicaid vs other insurance holders. </w:t>
            </w:r>
          </w:p>
          <w:p w14:paraId="5E77AA8C" w14:textId="4956008B" w:rsidR="00DA4219" w:rsidRPr="0024707B" w:rsidRDefault="00DA4219" w:rsidP="00DA42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48851DD5" w:rsidRPr="0024707B" w14:paraId="35D86DA3" w14:textId="77777777" w:rsidTr="00DA421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796CE7" w14:textId="02B41D3B" w:rsidR="48851DD5" w:rsidRPr="0024707B" w:rsidRDefault="007C0311" w:rsidP="00BE5C3E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Accomplishments</w:t>
            </w:r>
            <w:r w:rsidR="48851DD5" w:rsidRPr="0024707B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:</w:t>
            </w:r>
            <w:r w:rsidR="48851DD5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4219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The data was presented to partnering organizations at a </w:t>
            </w:r>
            <w:r w:rsidR="00AD56C4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>stakeholder</w:t>
            </w:r>
            <w:r w:rsidR="00DA4219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meeting where leadership would appreciate the findings and discuss next steps in addressing issues.</w:t>
            </w:r>
            <w:r w:rsidR="00BE5C3E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This project served as a foundational </w:t>
            </w:r>
            <w:r w:rsidR="00AD56C4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>steppingstone</w:t>
            </w:r>
            <w:r w:rsidR="00BE5C3E" w:rsidRPr="0024707B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that would direct future data collection and interventions.</w:t>
            </w:r>
          </w:p>
        </w:tc>
      </w:tr>
      <w:tr w:rsidR="48851DD5" w:rsidRPr="0024707B" w14:paraId="5E16F2B2" w14:textId="77777777" w:rsidTr="004A3089">
        <w:trPr>
          <w:trHeight w:val="213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6A4754F" w14:textId="77777777" w:rsidR="00325FE3" w:rsidRPr="0024707B" w:rsidRDefault="00325FE3" w:rsidP="00DA2D5A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DF63FCE" w14:textId="3387349A" w:rsidR="00DA2D5A" w:rsidRPr="0024707B" w:rsidRDefault="007C0311" w:rsidP="00DA2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Discussion</w:t>
            </w:r>
            <w:r w:rsidR="48851DD5" w:rsidRPr="0024707B">
              <w:rPr>
                <w:rFonts w:asciiTheme="minorHAnsi" w:hAnsiTheme="minorHAnsi" w:cstheme="minorHAnsi"/>
                <w:iCs/>
                <w:sz w:val="22"/>
                <w:szCs w:val="22"/>
                <w:u w:val="single"/>
              </w:rPr>
              <w:t>:</w:t>
            </w:r>
            <w:r w:rsidR="48851DD5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725" w:rsidRPr="0024707B">
              <w:rPr>
                <w:rFonts w:asciiTheme="minorHAnsi" w:hAnsiTheme="minorHAnsi" w:cstheme="minorHAnsi"/>
                <w:sz w:val="22"/>
                <w:szCs w:val="22"/>
              </w:rPr>
              <w:t>The results of this report</w:t>
            </w:r>
            <w:r w:rsidR="00A929E7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4F7" w:rsidRPr="0024707B">
              <w:rPr>
                <w:rFonts w:asciiTheme="minorHAnsi" w:hAnsiTheme="minorHAnsi" w:cstheme="minorHAnsi"/>
                <w:sz w:val="22"/>
                <w:szCs w:val="22"/>
              </w:rPr>
              <w:t>suggests that healthcare disparities have made an impact on</w:t>
            </w:r>
            <w:r w:rsidR="00E144B3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the rates of testing for LS for CRC patients. </w:t>
            </w:r>
            <w:r w:rsidR="001F5BEC" w:rsidRPr="0024707B">
              <w:rPr>
                <w:rFonts w:asciiTheme="minorHAnsi" w:hAnsiTheme="minorHAnsi" w:cstheme="minorHAnsi"/>
                <w:sz w:val="22"/>
                <w:szCs w:val="22"/>
              </w:rPr>
              <w:t>We see this is true particularly for Medicaid</w:t>
            </w:r>
            <w:r w:rsidR="00DE28BF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and rural populations as well as racial minorities</w:t>
            </w:r>
            <w:r w:rsidR="00CE7B40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370953B" w14:textId="77777777" w:rsidR="00325FE3" w:rsidRPr="0024707B" w:rsidRDefault="00325FE3" w:rsidP="00DA2D5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</w:p>
          <w:p w14:paraId="19D125EC" w14:textId="537A938E" w:rsidR="48851DD5" w:rsidRPr="0024707B" w:rsidRDefault="007C0311" w:rsidP="007C03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70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Future Steps</w:t>
            </w:r>
            <w:r w:rsidR="00DA2D5A" w:rsidRPr="002470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="00DA2D5A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3089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This study was important in helping TACL’s partners </w:t>
            </w:r>
            <w:r w:rsidR="005052AD" w:rsidRPr="0024707B">
              <w:rPr>
                <w:rFonts w:asciiTheme="minorHAnsi" w:hAnsiTheme="minorHAnsi" w:cstheme="minorHAnsi"/>
                <w:sz w:val="22"/>
                <w:szCs w:val="22"/>
              </w:rPr>
              <w:t>obtain feedback on the current state of molecular testing for CRC patients. There were some challenges in</w:t>
            </w:r>
            <w:r w:rsidR="00590DC2" w:rsidRPr="0024707B">
              <w:rPr>
                <w:rFonts w:asciiTheme="minorHAnsi" w:hAnsiTheme="minorHAnsi" w:cstheme="minorHAnsi"/>
                <w:sz w:val="22"/>
                <w:szCs w:val="22"/>
              </w:rPr>
              <w:t xml:space="preserve"> data collection and analysis. Nonetheless, the project served an important foundational role in future efforts of tracking molecular testing rates throughout Louisiana. Future work </w:t>
            </w:r>
            <w:r w:rsidR="007F5E1B" w:rsidRPr="0024707B">
              <w:rPr>
                <w:rFonts w:asciiTheme="minorHAnsi" w:hAnsiTheme="minorHAnsi" w:cstheme="minorHAnsi"/>
                <w:sz w:val="22"/>
                <w:szCs w:val="22"/>
              </w:rPr>
              <w:t>should be focused on addressing the healthcare disparities in molecular testing and on increasing rates of reporting from partnering organizations.</w:t>
            </w:r>
          </w:p>
        </w:tc>
      </w:tr>
    </w:tbl>
    <w:p w14:paraId="13362429" w14:textId="6BCCF936" w:rsidR="3B858998" w:rsidRPr="009D036B" w:rsidRDefault="3B858998" w:rsidP="48851DD5">
      <w:pPr>
        <w:rPr>
          <w:rStyle w:val="Style1"/>
          <w:rFonts w:asciiTheme="minorHAnsi" w:hAnsiTheme="minorHAnsi" w:cstheme="minorHAnsi"/>
        </w:rPr>
      </w:pPr>
    </w:p>
    <w:p w14:paraId="69F00969" w14:textId="38A60372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p w14:paraId="472C9004" w14:textId="77777777" w:rsidR="00A45355" w:rsidRPr="009D036B" w:rsidRDefault="00A45355" w:rsidP="48851DD5">
      <w:pPr>
        <w:rPr>
          <w:rStyle w:val="Style1"/>
          <w:rFonts w:asciiTheme="minorHAnsi" w:hAnsiTheme="minorHAnsi" w:cstheme="minorHAnsi"/>
        </w:rPr>
      </w:pPr>
    </w:p>
    <w:sectPr w:rsidR="00A45355" w:rsidRPr="009D036B" w:rsidSect="00DF425D">
      <w:pgSz w:w="12240" w:h="15840" w:code="1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FD46A" w14:textId="77777777" w:rsidR="008C16AF" w:rsidRDefault="008C16AF">
      <w:r>
        <w:separator/>
      </w:r>
    </w:p>
  </w:endnote>
  <w:endnote w:type="continuationSeparator" w:id="0">
    <w:p w14:paraId="2AF4D65C" w14:textId="77777777" w:rsidR="008C16AF" w:rsidRDefault="008C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DF9C2" w14:textId="77777777" w:rsidR="008C16AF" w:rsidRDefault="008C16AF">
      <w:r>
        <w:separator/>
      </w:r>
    </w:p>
  </w:footnote>
  <w:footnote w:type="continuationSeparator" w:id="0">
    <w:p w14:paraId="69E8588C" w14:textId="77777777" w:rsidR="008C16AF" w:rsidRDefault="008C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04"/>
    <w:rsid w:val="000141A2"/>
    <w:rsid w:val="0005278F"/>
    <w:rsid w:val="0009130A"/>
    <w:rsid w:val="00097556"/>
    <w:rsid w:val="000B7DA8"/>
    <w:rsid w:val="000C015A"/>
    <w:rsid w:val="000C43F0"/>
    <w:rsid w:val="000D28B9"/>
    <w:rsid w:val="000D2FDC"/>
    <w:rsid w:val="000E3CF1"/>
    <w:rsid w:val="000F2F1D"/>
    <w:rsid w:val="000F5D7D"/>
    <w:rsid w:val="0013733D"/>
    <w:rsid w:val="00165240"/>
    <w:rsid w:val="00177848"/>
    <w:rsid w:val="001A7583"/>
    <w:rsid w:val="001B0EB0"/>
    <w:rsid w:val="001C39C4"/>
    <w:rsid w:val="001C3B37"/>
    <w:rsid w:val="001D185A"/>
    <w:rsid w:val="001E03B2"/>
    <w:rsid w:val="001F5BEC"/>
    <w:rsid w:val="00202B17"/>
    <w:rsid w:val="00204EBD"/>
    <w:rsid w:val="0021217C"/>
    <w:rsid w:val="0021430B"/>
    <w:rsid w:val="00234FDE"/>
    <w:rsid w:val="0024707B"/>
    <w:rsid w:val="00255735"/>
    <w:rsid w:val="00267CC0"/>
    <w:rsid w:val="00272AE7"/>
    <w:rsid w:val="00290D4E"/>
    <w:rsid w:val="002B4B4D"/>
    <w:rsid w:val="002F341B"/>
    <w:rsid w:val="00301319"/>
    <w:rsid w:val="00314156"/>
    <w:rsid w:val="00325FE3"/>
    <w:rsid w:val="00331E01"/>
    <w:rsid w:val="00332BD6"/>
    <w:rsid w:val="00333A3F"/>
    <w:rsid w:val="003430C1"/>
    <w:rsid w:val="003438D0"/>
    <w:rsid w:val="003A65CF"/>
    <w:rsid w:val="003B3B05"/>
    <w:rsid w:val="003F42A3"/>
    <w:rsid w:val="004029BF"/>
    <w:rsid w:val="0041650D"/>
    <w:rsid w:val="00422D2C"/>
    <w:rsid w:val="00427662"/>
    <w:rsid w:val="00452DEA"/>
    <w:rsid w:val="00475FA4"/>
    <w:rsid w:val="00493913"/>
    <w:rsid w:val="004A3089"/>
    <w:rsid w:val="004B5B67"/>
    <w:rsid w:val="004B7359"/>
    <w:rsid w:val="005052AD"/>
    <w:rsid w:val="005123B4"/>
    <w:rsid w:val="00517A98"/>
    <w:rsid w:val="00530AAD"/>
    <w:rsid w:val="0053219A"/>
    <w:rsid w:val="00567742"/>
    <w:rsid w:val="00567BB5"/>
    <w:rsid w:val="00575B10"/>
    <w:rsid w:val="00590DC2"/>
    <w:rsid w:val="005B2344"/>
    <w:rsid w:val="005C1E08"/>
    <w:rsid w:val="005D413F"/>
    <w:rsid w:val="005F4F00"/>
    <w:rsid w:val="0061751D"/>
    <w:rsid w:val="00625B45"/>
    <w:rsid w:val="00627C8F"/>
    <w:rsid w:val="006308D8"/>
    <w:rsid w:val="00643A94"/>
    <w:rsid w:val="00650B2F"/>
    <w:rsid w:val="006559A5"/>
    <w:rsid w:val="006B3B14"/>
    <w:rsid w:val="006C55A2"/>
    <w:rsid w:val="006D21B2"/>
    <w:rsid w:val="006F02C2"/>
    <w:rsid w:val="006F44F7"/>
    <w:rsid w:val="00720536"/>
    <w:rsid w:val="007334AD"/>
    <w:rsid w:val="007347D7"/>
    <w:rsid w:val="00736715"/>
    <w:rsid w:val="00742FDE"/>
    <w:rsid w:val="00744147"/>
    <w:rsid w:val="00767097"/>
    <w:rsid w:val="007834BF"/>
    <w:rsid w:val="007B6155"/>
    <w:rsid w:val="007C0311"/>
    <w:rsid w:val="007C2960"/>
    <w:rsid w:val="007D03C5"/>
    <w:rsid w:val="007D1FFF"/>
    <w:rsid w:val="007D4AD2"/>
    <w:rsid w:val="007E69BD"/>
    <w:rsid w:val="007F00B6"/>
    <w:rsid w:val="007F303E"/>
    <w:rsid w:val="007F5E1B"/>
    <w:rsid w:val="00852CDA"/>
    <w:rsid w:val="00866EB9"/>
    <w:rsid w:val="00876FF3"/>
    <w:rsid w:val="008844E0"/>
    <w:rsid w:val="008C0A78"/>
    <w:rsid w:val="008C16AF"/>
    <w:rsid w:val="008D2C47"/>
    <w:rsid w:val="008D38AC"/>
    <w:rsid w:val="008E788D"/>
    <w:rsid w:val="00903C3C"/>
    <w:rsid w:val="00931C58"/>
    <w:rsid w:val="009321DF"/>
    <w:rsid w:val="00956F81"/>
    <w:rsid w:val="00981E11"/>
    <w:rsid w:val="00986C99"/>
    <w:rsid w:val="00996CCA"/>
    <w:rsid w:val="009A462A"/>
    <w:rsid w:val="009D036B"/>
    <w:rsid w:val="009E1724"/>
    <w:rsid w:val="009F2F6E"/>
    <w:rsid w:val="009F34DD"/>
    <w:rsid w:val="00A049B1"/>
    <w:rsid w:val="00A06288"/>
    <w:rsid w:val="00A15211"/>
    <w:rsid w:val="00A17AC2"/>
    <w:rsid w:val="00A3157E"/>
    <w:rsid w:val="00A4104C"/>
    <w:rsid w:val="00A45355"/>
    <w:rsid w:val="00A46190"/>
    <w:rsid w:val="00A5131B"/>
    <w:rsid w:val="00A82B2C"/>
    <w:rsid w:val="00A929E7"/>
    <w:rsid w:val="00A94D39"/>
    <w:rsid w:val="00AA3D44"/>
    <w:rsid w:val="00AA3D78"/>
    <w:rsid w:val="00AD56C4"/>
    <w:rsid w:val="00AE27A5"/>
    <w:rsid w:val="00B26817"/>
    <w:rsid w:val="00B64997"/>
    <w:rsid w:val="00B76823"/>
    <w:rsid w:val="00B7784B"/>
    <w:rsid w:val="00B95C7A"/>
    <w:rsid w:val="00BD0BBB"/>
    <w:rsid w:val="00BE5304"/>
    <w:rsid w:val="00BE5C3E"/>
    <w:rsid w:val="00C41A49"/>
    <w:rsid w:val="00C52089"/>
    <w:rsid w:val="00C63364"/>
    <w:rsid w:val="00C81BFC"/>
    <w:rsid w:val="00C833FF"/>
    <w:rsid w:val="00C864D5"/>
    <w:rsid w:val="00CA7CAB"/>
    <w:rsid w:val="00CC2ADC"/>
    <w:rsid w:val="00CD421C"/>
    <w:rsid w:val="00CE2C65"/>
    <w:rsid w:val="00CE3DD1"/>
    <w:rsid w:val="00CE7B40"/>
    <w:rsid w:val="00CF13D7"/>
    <w:rsid w:val="00CF5B2D"/>
    <w:rsid w:val="00D12684"/>
    <w:rsid w:val="00D2739E"/>
    <w:rsid w:val="00D27A70"/>
    <w:rsid w:val="00D3298A"/>
    <w:rsid w:val="00D67C13"/>
    <w:rsid w:val="00D73333"/>
    <w:rsid w:val="00DA2D5A"/>
    <w:rsid w:val="00DA4219"/>
    <w:rsid w:val="00DB22B1"/>
    <w:rsid w:val="00DB3CF0"/>
    <w:rsid w:val="00DC5D18"/>
    <w:rsid w:val="00DE28BF"/>
    <w:rsid w:val="00DF425D"/>
    <w:rsid w:val="00E027DD"/>
    <w:rsid w:val="00E144B3"/>
    <w:rsid w:val="00E2500A"/>
    <w:rsid w:val="00E345F4"/>
    <w:rsid w:val="00E650A9"/>
    <w:rsid w:val="00E67853"/>
    <w:rsid w:val="00E7236E"/>
    <w:rsid w:val="00E73506"/>
    <w:rsid w:val="00E84402"/>
    <w:rsid w:val="00EA3D44"/>
    <w:rsid w:val="00EA5EAF"/>
    <w:rsid w:val="00ED0115"/>
    <w:rsid w:val="00ED499A"/>
    <w:rsid w:val="00F04725"/>
    <w:rsid w:val="00F07C74"/>
    <w:rsid w:val="00F5778B"/>
    <w:rsid w:val="00FD0588"/>
    <w:rsid w:val="00FD5F91"/>
    <w:rsid w:val="00FF0716"/>
    <w:rsid w:val="022C4C12"/>
    <w:rsid w:val="03473ACB"/>
    <w:rsid w:val="05C5FDC7"/>
    <w:rsid w:val="0761CE28"/>
    <w:rsid w:val="09E973F6"/>
    <w:rsid w:val="0A76245B"/>
    <w:rsid w:val="0B086447"/>
    <w:rsid w:val="0D3B9ED1"/>
    <w:rsid w:val="0F81FC57"/>
    <w:rsid w:val="10848507"/>
    <w:rsid w:val="11AFF48E"/>
    <w:rsid w:val="120DAE38"/>
    <w:rsid w:val="12466B0E"/>
    <w:rsid w:val="16EBB0B1"/>
    <w:rsid w:val="1863C75F"/>
    <w:rsid w:val="1A5A5C84"/>
    <w:rsid w:val="1D3F2608"/>
    <w:rsid w:val="1FCE6E63"/>
    <w:rsid w:val="22318D61"/>
    <w:rsid w:val="23709610"/>
    <w:rsid w:val="25310F90"/>
    <w:rsid w:val="254A37ED"/>
    <w:rsid w:val="26CCDFF1"/>
    <w:rsid w:val="294CF2CD"/>
    <w:rsid w:val="2961336C"/>
    <w:rsid w:val="2BA05114"/>
    <w:rsid w:val="2CF79028"/>
    <w:rsid w:val="2D3C2175"/>
    <w:rsid w:val="302F30EA"/>
    <w:rsid w:val="3178C001"/>
    <w:rsid w:val="32968331"/>
    <w:rsid w:val="330E0F35"/>
    <w:rsid w:val="3547335A"/>
    <w:rsid w:val="36EAF141"/>
    <w:rsid w:val="37993E18"/>
    <w:rsid w:val="3886C1A2"/>
    <w:rsid w:val="38B59928"/>
    <w:rsid w:val="3B858998"/>
    <w:rsid w:val="3DE8E600"/>
    <w:rsid w:val="44C7F0E6"/>
    <w:rsid w:val="460B496D"/>
    <w:rsid w:val="47D3C21B"/>
    <w:rsid w:val="48851DD5"/>
    <w:rsid w:val="48D8BFE5"/>
    <w:rsid w:val="4A0EC0D3"/>
    <w:rsid w:val="4B0B62DD"/>
    <w:rsid w:val="4C62A1F1"/>
    <w:rsid w:val="54360742"/>
    <w:rsid w:val="5534945E"/>
    <w:rsid w:val="5846CB7F"/>
    <w:rsid w:val="5983EA1E"/>
    <w:rsid w:val="5F4026DD"/>
    <w:rsid w:val="5F87F715"/>
    <w:rsid w:val="618DA0FD"/>
    <w:rsid w:val="64D05673"/>
    <w:rsid w:val="6664545C"/>
    <w:rsid w:val="67DF8C3F"/>
    <w:rsid w:val="6A91B6E7"/>
    <w:rsid w:val="74D6A02C"/>
    <w:rsid w:val="752A423C"/>
    <w:rsid w:val="7563F2A1"/>
    <w:rsid w:val="7891AD9F"/>
    <w:rsid w:val="78F458E6"/>
    <w:rsid w:val="7986D158"/>
    <w:rsid w:val="7A2D7E00"/>
    <w:rsid w:val="7BC94E61"/>
    <w:rsid w:val="7C42FD87"/>
    <w:rsid w:val="7D651EC2"/>
    <w:rsid w:val="7DF113AB"/>
    <w:rsid w:val="7EB7F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9DB7F"/>
  <w15:docId w15:val="{CA2617F2-846D-4040-ABD7-63BDC91D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customStyle="1" w:styleId="HeaderChar">
    <w:name w:val="Header Char"/>
    <w:link w:val="Header"/>
    <w:uiPriority w:val="99"/>
    <w:rsid w:val="00E7236E"/>
    <w:rPr>
      <w:sz w:val="24"/>
      <w:szCs w:val="24"/>
    </w:rPr>
  </w:style>
  <w:style w:type="character" w:styleId="Hyperlink">
    <w:name w:val="Hyperlink"/>
    <w:basedOn w:val="DefaultParagraphFont"/>
    <w:rsid w:val="00E723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5304"/>
    <w:rPr>
      <w:color w:val="808080"/>
    </w:rPr>
  </w:style>
  <w:style w:type="character" w:customStyle="1" w:styleId="Style1">
    <w:name w:val="Style1"/>
    <w:basedOn w:val="DefaultParagraphFont"/>
    <w:uiPriority w:val="1"/>
    <w:rsid w:val="00BE5304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BE5304"/>
    <w:rPr>
      <w:b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3430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0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0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0C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FDE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FDE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234FDE"/>
    <w:rPr>
      <w:vertAlign w:val="superscript"/>
    </w:rPr>
  </w:style>
  <w:style w:type="character" w:customStyle="1" w:styleId="ref-journal">
    <w:name w:val="ref-journal"/>
    <w:basedOn w:val="DefaultParagraphFont"/>
    <w:rsid w:val="00234FDE"/>
  </w:style>
  <w:style w:type="character" w:customStyle="1" w:styleId="ref-vol">
    <w:name w:val="ref-vol"/>
    <w:basedOn w:val="DefaultParagraphFont"/>
    <w:rsid w:val="0023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urt\Desktop\ABSTRACT%20SUBMISS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4" ma:contentTypeDescription="Create a new document." ma:contentTypeScope="" ma:versionID="fd217ce9ab0439f0e7b17ec4ce93c93f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55b6b24b8f6c395f9be512248765836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0E7CF-5CB2-4BEE-8400-57CA0EBFE6F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66ce1cd-eed7-4221-b927-68cc18a4b72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EF2F7-8287-48D6-A102-715DF3A5E87E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A69D1D-5338-4C39-A14B-0B5BB3834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SUBMISSION FORM</Template>
  <TotalTime>1</TotalTime>
  <Pages>1</Pages>
  <Words>285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RESEARCH</vt:lpstr>
    </vt:vector>
  </TitlesOfParts>
  <Company>McGraw-Hill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Joy</dc:creator>
  <cp:lastModifiedBy>Cuccia, Martha L.</cp:lastModifiedBy>
  <cp:revision>3</cp:revision>
  <cp:lastPrinted>2002-01-24T22:21:00Z</cp:lastPrinted>
  <dcterms:created xsi:type="dcterms:W3CDTF">2023-03-08T03:29:00Z</dcterms:created>
  <dcterms:modified xsi:type="dcterms:W3CDTF">2023-03-09T00:23:00Z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TC063692421033</vt:lpwstr>
  </property>
  <property fmtid="{D5CDD505-2E9C-101B-9397-08002B2CF9AE}" pid="3" name="ContentTypeId">
    <vt:lpwstr>0x0101009EC990CD2DDCD44E81A14C66C5C2B181</vt:lpwstr>
  </property>
</Properties>
</file>