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83B" w:rsidRDefault="00DA4CEA" w:rsidP="00B86B11">
      <w:pPr>
        <w:spacing w:after="360"/>
        <w:jc w:val="left"/>
        <w:rPr>
          <w:rFonts w:ascii="Arial" w:hAnsi="Arial" w:cs="Arial"/>
          <w:b/>
          <w:color w:val="4B3A60"/>
          <w:sz w:val="24"/>
          <w:szCs w:val="24"/>
          <w:u w:val="single"/>
        </w:rPr>
      </w:pPr>
      <w:r w:rsidRPr="00DA4CEA">
        <w:rPr>
          <w:rFonts w:ascii="Arial" w:hAnsi="Arial" w:cs="Arial"/>
          <w:b/>
          <w:color w:val="4B3A60"/>
          <w:sz w:val="24"/>
          <w:szCs w:val="24"/>
          <w:u w:val="single"/>
        </w:rPr>
        <w:t xml:space="preserve">Reporting of </w:t>
      </w:r>
      <w:r>
        <w:rPr>
          <w:rFonts w:ascii="Arial" w:hAnsi="Arial" w:cs="Arial"/>
          <w:b/>
          <w:color w:val="4B3A60"/>
          <w:sz w:val="24"/>
          <w:szCs w:val="24"/>
          <w:u w:val="single"/>
        </w:rPr>
        <w:t>C</w:t>
      </w:r>
      <w:r w:rsidRPr="00DA4CEA">
        <w:rPr>
          <w:rFonts w:ascii="Arial" w:hAnsi="Arial" w:cs="Arial"/>
          <w:b/>
          <w:color w:val="4B3A60"/>
          <w:sz w:val="24"/>
          <w:szCs w:val="24"/>
          <w:u w:val="single"/>
        </w:rPr>
        <w:t xml:space="preserve">ervical </w:t>
      </w:r>
      <w:r>
        <w:rPr>
          <w:rFonts w:ascii="Arial" w:hAnsi="Arial" w:cs="Arial"/>
          <w:b/>
          <w:color w:val="4B3A60"/>
          <w:sz w:val="24"/>
          <w:szCs w:val="24"/>
          <w:u w:val="single"/>
        </w:rPr>
        <w:t>I</w:t>
      </w:r>
      <w:r w:rsidRPr="00DA4CEA">
        <w:rPr>
          <w:rFonts w:ascii="Arial" w:hAnsi="Arial" w:cs="Arial"/>
          <w:b/>
          <w:color w:val="4B3A60"/>
          <w:sz w:val="24"/>
          <w:szCs w:val="24"/>
          <w:u w:val="single"/>
        </w:rPr>
        <w:t xml:space="preserve">ntraepithelial </w:t>
      </w:r>
      <w:r>
        <w:rPr>
          <w:rFonts w:ascii="Arial" w:hAnsi="Arial" w:cs="Arial"/>
          <w:b/>
          <w:color w:val="4B3A60"/>
          <w:sz w:val="24"/>
          <w:szCs w:val="24"/>
          <w:u w:val="single"/>
        </w:rPr>
        <w:t>N</w:t>
      </w:r>
      <w:r w:rsidRPr="00DA4CEA">
        <w:rPr>
          <w:rFonts w:ascii="Arial" w:hAnsi="Arial" w:cs="Arial"/>
          <w:b/>
          <w:color w:val="4B3A60"/>
          <w:sz w:val="24"/>
          <w:szCs w:val="24"/>
          <w:u w:val="single"/>
        </w:rPr>
        <w:t>eoplasia III (CIN</w:t>
      </w:r>
      <w:r w:rsidR="00214693">
        <w:rPr>
          <w:rFonts w:ascii="Arial" w:hAnsi="Arial" w:cs="Arial"/>
          <w:b/>
          <w:color w:val="4B3A60"/>
          <w:sz w:val="24"/>
          <w:szCs w:val="24"/>
          <w:u w:val="single"/>
        </w:rPr>
        <w:t xml:space="preserve"> III</w:t>
      </w:r>
      <w:r w:rsidRPr="00DA4CEA">
        <w:rPr>
          <w:rFonts w:ascii="Arial" w:hAnsi="Arial" w:cs="Arial"/>
          <w:b/>
          <w:color w:val="4B3A60"/>
          <w:sz w:val="24"/>
          <w:szCs w:val="24"/>
          <w:u w:val="single"/>
        </w:rPr>
        <w:t>) Cases</w:t>
      </w:r>
      <w:r w:rsidRPr="003F7921">
        <w:rPr>
          <w:rFonts w:ascii="Arial" w:hAnsi="Arial" w:cs="Arial"/>
          <w:b/>
          <w:color w:val="4B3A60"/>
          <w:sz w:val="24"/>
          <w:szCs w:val="24"/>
          <w:u w:val="single"/>
        </w:rPr>
        <w:t xml:space="preserve"> </w:t>
      </w:r>
    </w:p>
    <w:p w:rsidR="00C74E65" w:rsidRDefault="00DA4CEA" w:rsidP="00AB2EDE">
      <w:pPr>
        <w:spacing w:after="120"/>
        <w:jc w:val="both"/>
        <w:rPr>
          <w:rFonts w:cstheme="minorHAnsi"/>
          <w:sz w:val="24"/>
          <w:szCs w:val="24"/>
        </w:rPr>
      </w:pPr>
      <w:r>
        <w:rPr>
          <w:rFonts w:cstheme="minorHAnsi"/>
          <w:sz w:val="24"/>
          <w:szCs w:val="24"/>
        </w:rPr>
        <w:t xml:space="preserve">Effective </w:t>
      </w:r>
      <w:r w:rsidRPr="00DA4CEA">
        <w:rPr>
          <w:rFonts w:cstheme="minorHAnsi"/>
          <w:b/>
          <w:sz w:val="24"/>
          <w:szCs w:val="24"/>
        </w:rPr>
        <w:t>January 1, 2009</w:t>
      </w:r>
      <w:r>
        <w:rPr>
          <w:rFonts w:cstheme="minorHAnsi"/>
          <w:sz w:val="24"/>
          <w:szCs w:val="24"/>
        </w:rPr>
        <w:t xml:space="preserve"> the following precancerous cervical neoplasia</w:t>
      </w:r>
      <w:r w:rsidRPr="00D109E8">
        <w:rPr>
          <w:rFonts w:cstheme="minorHAnsi"/>
          <w:sz w:val="24"/>
          <w:szCs w:val="24"/>
        </w:rPr>
        <w:t xml:space="preserve"> </w:t>
      </w:r>
      <w:r w:rsidR="00D41A29">
        <w:rPr>
          <w:rFonts w:cstheme="minorHAnsi"/>
          <w:sz w:val="24"/>
          <w:szCs w:val="24"/>
        </w:rPr>
        <w:t xml:space="preserve">became </w:t>
      </w:r>
      <w:r>
        <w:rPr>
          <w:rFonts w:cstheme="minorHAnsi"/>
          <w:sz w:val="24"/>
          <w:szCs w:val="24"/>
        </w:rPr>
        <w:t xml:space="preserve">reportable to LTR: </w:t>
      </w:r>
      <w:r w:rsidRPr="00D109E8">
        <w:rPr>
          <w:rFonts w:cstheme="minorHAnsi"/>
          <w:sz w:val="24"/>
          <w:szCs w:val="24"/>
        </w:rPr>
        <w:t>cervical carcinoma in situ, adenocarcinoma in situ of the cervix, cervical intraepithelial neoplasia III (CI</w:t>
      </w:r>
      <w:r>
        <w:rPr>
          <w:rFonts w:cstheme="minorHAnsi"/>
          <w:sz w:val="24"/>
          <w:szCs w:val="24"/>
        </w:rPr>
        <w:t>N</w:t>
      </w:r>
      <w:r w:rsidR="00214693">
        <w:rPr>
          <w:rFonts w:cstheme="minorHAnsi"/>
          <w:sz w:val="24"/>
          <w:szCs w:val="24"/>
        </w:rPr>
        <w:t xml:space="preserve"> III</w:t>
      </w:r>
      <w:r>
        <w:rPr>
          <w:rFonts w:cstheme="minorHAnsi"/>
          <w:sz w:val="24"/>
          <w:szCs w:val="24"/>
        </w:rPr>
        <w:t>), and “severe dysplasia</w:t>
      </w:r>
      <w:r w:rsidR="00C74E65">
        <w:rPr>
          <w:rFonts w:cstheme="minorHAnsi"/>
          <w:sz w:val="24"/>
          <w:szCs w:val="24"/>
        </w:rPr>
        <w:t>.</w:t>
      </w:r>
      <w:r>
        <w:rPr>
          <w:rFonts w:cstheme="minorHAnsi"/>
          <w:sz w:val="24"/>
          <w:szCs w:val="24"/>
        </w:rPr>
        <w:t xml:space="preserve">” </w:t>
      </w:r>
    </w:p>
    <w:p w:rsidR="00C74E65" w:rsidRDefault="00D41A29" w:rsidP="00AB2EDE">
      <w:pPr>
        <w:jc w:val="both"/>
        <w:rPr>
          <w:szCs w:val="24"/>
        </w:rPr>
      </w:pPr>
      <w:r>
        <w:rPr>
          <w:rFonts w:cstheme="minorHAnsi"/>
          <w:bCs/>
          <w:sz w:val="24"/>
          <w:szCs w:val="24"/>
        </w:rPr>
        <w:t xml:space="preserve">Effective </w:t>
      </w:r>
      <w:r w:rsidRPr="00D81A3F">
        <w:rPr>
          <w:rFonts w:cstheme="minorHAnsi"/>
          <w:b/>
          <w:bCs/>
          <w:sz w:val="24"/>
          <w:szCs w:val="24"/>
        </w:rPr>
        <w:t>January 1, 2019</w:t>
      </w:r>
      <w:r>
        <w:rPr>
          <w:rFonts w:cstheme="minorHAnsi"/>
          <w:bCs/>
          <w:sz w:val="24"/>
          <w:szCs w:val="24"/>
        </w:rPr>
        <w:t xml:space="preserve"> the terms: </w:t>
      </w:r>
      <w:r>
        <w:rPr>
          <w:szCs w:val="24"/>
        </w:rPr>
        <w:t>HSIL, HGSIL, high-grade SIL, or high grade squamous intraepithelial neoplasia</w:t>
      </w:r>
      <w:r w:rsidR="008643C4">
        <w:rPr>
          <w:szCs w:val="24"/>
        </w:rPr>
        <w:t>, High Grade Dysplasia, High Grade Squamous Dysplasia</w:t>
      </w:r>
      <w:r>
        <w:rPr>
          <w:szCs w:val="24"/>
        </w:rPr>
        <w:t xml:space="preserve"> in relation to the cervix</w:t>
      </w:r>
      <w:r w:rsidR="00CD7C47">
        <w:rPr>
          <w:szCs w:val="24"/>
        </w:rPr>
        <w:t xml:space="preserve"> became</w:t>
      </w:r>
      <w:r>
        <w:rPr>
          <w:szCs w:val="24"/>
        </w:rPr>
        <w:t xml:space="preserve"> reportable.  In addition, cases diagnosed as “CIN II” or</w:t>
      </w:r>
      <w:r w:rsidRPr="008D0288">
        <w:rPr>
          <w:szCs w:val="24"/>
        </w:rPr>
        <w:t xml:space="preserve"> “CIN II/III”</w:t>
      </w:r>
      <w:r>
        <w:rPr>
          <w:szCs w:val="24"/>
        </w:rPr>
        <w:t xml:space="preserve"> or “CIN II-III” are reportable only when HSIL is noted or a positive p16 test has been performed.</w:t>
      </w:r>
    </w:p>
    <w:p w:rsidR="00B86B11" w:rsidRDefault="00B86B11" w:rsidP="00AB2EDE">
      <w:pPr>
        <w:jc w:val="both"/>
        <w:rPr>
          <w:szCs w:val="24"/>
        </w:rPr>
      </w:pPr>
    </w:p>
    <w:p w:rsidR="00B86B11" w:rsidRDefault="00DA4CEA" w:rsidP="00AB2EDE">
      <w:pPr>
        <w:jc w:val="both"/>
        <w:rPr>
          <w:rFonts w:cstheme="minorHAnsi"/>
          <w:b/>
          <w:bCs/>
          <w:sz w:val="24"/>
          <w:szCs w:val="24"/>
        </w:rPr>
      </w:pPr>
      <w:r w:rsidRPr="00DC208F">
        <w:rPr>
          <w:rFonts w:cstheme="minorHAnsi"/>
          <w:sz w:val="24"/>
          <w:szCs w:val="24"/>
        </w:rPr>
        <w:t>The data will provide estimate of incidence of precancerous cervical neoplasia in Louisiana and our understanding in the efficacy of population-based HPV vaccination efforts on cervical cancer</w:t>
      </w:r>
      <w:r w:rsidRPr="00D109E8">
        <w:rPr>
          <w:rFonts w:cstheme="minorHAnsi"/>
          <w:sz w:val="24"/>
          <w:szCs w:val="24"/>
        </w:rPr>
        <w:t xml:space="preserve">. </w:t>
      </w:r>
      <w:r w:rsidRPr="00DA4CEA">
        <w:rPr>
          <w:rFonts w:cstheme="minorHAnsi"/>
          <w:b/>
          <w:sz w:val="24"/>
          <w:szCs w:val="24"/>
        </w:rPr>
        <w:t>Only pathology report and matching face sheet (for basic demographic data) are required to submit to LTR</w:t>
      </w:r>
      <w:r w:rsidRPr="00DA4CEA">
        <w:rPr>
          <w:rFonts w:cstheme="minorHAnsi"/>
          <w:b/>
          <w:bCs/>
          <w:sz w:val="24"/>
          <w:szCs w:val="24"/>
        </w:rPr>
        <w:t xml:space="preserve">. </w:t>
      </w:r>
    </w:p>
    <w:p w:rsidR="00B86B11" w:rsidRDefault="00B86B11" w:rsidP="00DA4CEA">
      <w:pPr>
        <w:jc w:val="left"/>
        <w:rPr>
          <w:rFonts w:cstheme="minorHAnsi"/>
          <w:b/>
          <w:bCs/>
          <w:sz w:val="24"/>
          <w:szCs w:val="24"/>
        </w:rPr>
      </w:pPr>
    </w:p>
    <w:p w:rsidR="00DA4CEA" w:rsidRDefault="00DA4CEA" w:rsidP="00DA4CEA">
      <w:pPr>
        <w:jc w:val="left"/>
        <w:rPr>
          <w:rFonts w:cstheme="minorHAnsi"/>
          <w:sz w:val="24"/>
          <w:szCs w:val="24"/>
        </w:rPr>
      </w:pPr>
    </w:p>
    <w:p w:rsidR="00DA4CEA" w:rsidRDefault="00DA4CEA" w:rsidP="00B86B11">
      <w:pPr>
        <w:spacing w:after="360"/>
        <w:jc w:val="left"/>
        <w:rPr>
          <w:rFonts w:ascii="Arial" w:hAnsi="Arial" w:cs="Arial"/>
          <w:b/>
          <w:color w:val="4B3A60"/>
          <w:sz w:val="24"/>
          <w:szCs w:val="24"/>
          <w:u w:val="single"/>
        </w:rPr>
      </w:pPr>
      <w:r>
        <w:rPr>
          <w:rFonts w:ascii="Arial" w:hAnsi="Arial" w:cs="Arial"/>
          <w:b/>
          <w:color w:val="4B3A60"/>
          <w:sz w:val="24"/>
          <w:szCs w:val="24"/>
          <w:u w:val="single"/>
        </w:rPr>
        <w:t>R</w:t>
      </w:r>
      <w:r w:rsidRPr="00DA4CEA">
        <w:rPr>
          <w:rFonts w:ascii="Arial" w:hAnsi="Arial" w:cs="Arial"/>
          <w:b/>
          <w:color w:val="4B3A60"/>
          <w:sz w:val="24"/>
          <w:szCs w:val="24"/>
          <w:u w:val="single"/>
        </w:rPr>
        <w:t xml:space="preserve">eportability </w:t>
      </w:r>
      <w:r>
        <w:rPr>
          <w:rFonts w:ascii="Arial" w:hAnsi="Arial" w:cs="Arial"/>
          <w:b/>
          <w:color w:val="4B3A60"/>
          <w:sz w:val="24"/>
          <w:szCs w:val="24"/>
          <w:u w:val="single"/>
        </w:rPr>
        <w:t>C</w:t>
      </w:r>
      <w:r w:rsidRPr="00DA4CEA">
        <w:rPr>
          <w:rFonts w:ascii="Arial" w:hAnsi="Arial" w:cs="Arial"/>
          <w:b/>
          <w:color w:val="4B3A60"/>
          <w:sz w:val="24"/>
          <w:szCs w:val="24"/>
          <w:u w:val="single"/>
        </w:rPr>
        <w:t>riteri</w:t>
      </w:r>
      <w:r>
        <w:rPr>
          <w:rFonts w:ascii="Arial" w:hAnsi="Arial" w:cs="Arial"/>
          <w:b/>
          <w:color w:val="4B3A60"/>
          <w:sz w:val="24"/>
          <w:szCs w:val="24"/>
          <w:u w:val="single"/>
        </w:rPr>
        <w:t>a for CIN</w:t>
      </w:r>
      <w:r w:rsidR="00214693">
        <w:rPr>
          <w:rFonts w:ascii="Arial" w:hAnsi="Arial" w:cs="Arial"/>
          <w:b/>
          <w:color w:val="4B3A60"/>
          <w:sz w:val="24"/>
          <w:szCs w:val="24"/>
          <w:u w:val="single"/>
        </w:rPr>
        <w:t xml:space="preserve"> III</w:t>
      </w:r>
      <w:r>
        <w:rPr>
          <w:rFonts w:ascii="Arial" w:hAnsi="Arial" w:cs="Arial"/>
          <w:b/>
          <w:color w:val="4B3A60"/>
          <w:sz w:val="24"/>
          <w:szCs w:val="24"/>
          <w:u w:val="single"/>
        </w:rPr>
        <w:t xml:space="preserve"> Cases</w:t>
      </w:r>
    </w:p>
    <w:p w:rsidR="00DA4CEA" w:rsidRDefault="00DA4CEA" w:rsidP="00DA4CEA">
      <w:pPr>
        <w:jc w:val="left"/>
        <w:rPr>
          <w:rFonts w:cstheme="minorHAnsi"/>
          <w:sz w:val="24"/>
          <w:szCs w:val="24"/>
        </w:rPr>
      </w:pPr>
    </w:p>
    <w:tbl>
      <w:tblPr>
        <w:tblStyle w:val="TableGrid"/>
        <w:tblW w:w="5132" w:type="pct"/>
        <w:jc w:val="center"/>
        <w:tblLook w:val="01E0" w:firstRow="1" w:lastRow="1" w:firstColumn="1" w:lastColumn="1" w:noHBand="0" w:noVBand="0"/>
      </w:tblPr>
      <w:tblGrid>
        <w:gridCol w:w="1766"/>
        <w:gridCol w:w="7831"/>
      </w:tblGrid>
      <w:tr w:rsidR="00DA4CEA" w:rsidRPr="00D03EB2" w:rsidTr="00E04E0D">
        <w:trPr>
          <w:trHeight w:val="528"/>
          <w:jc w:val="center"/>
        </w:trPr>
        <w:tc>
          <w:tcPr>
            <w:tcW w:w="920" w:type="pct"/>
          </w:tcPr>
          <w:p w:rsidR="00DA4CEA" w:rsidRPr="00D03EB2" w:rsidRDefault="00DA4CEA" w:rsidP="00E04E0D">
            <w:pPr>
              <w:rPr>
                <w:rFonts w:asciiTheme="minorHAnsi" w:hAnsiTheme="minorHAnsi" w:cstheme="minorHAnsi"/>
              </w:rPr>
            </w:pPr>
            <w:r w:rsidRPr="00D03EB2">
              <w:rPr>
                <w:rFonts w:asciiTheme="minorHAnsi" w:hAnsiTheme="minorHAnsi" w:cstheme="minorHAnsi"/>
              </w:rPr>
              <w:t>Site (ICD-O-3)</w:t>
            </w:r>
          </w:p>
        </w:tc>
        <w:tc>
          <w:tcPr>
            <w:tcW w:w="4080" w:type="pct"/>
          </w:tcPr>
          <w:p w:rsidR="00DA4CEA" w:rsidRPr="00D03EB2" w:rsidRDefault="00DA4CEA" w:rsidP="00E04E0D">
            <w:pPr>
              <w:rPr>
                <w:rFonts w:asciiTheme="minorHAnsi" w:hAnsiTheme="minorHAnsi" w:cstheme="minorHAnsi"/>
              </w:rPr>
            </w:pPr>
            <w:r w:rsidRPr="00D03EB2">
              <w:rPr>
                <w:rFonts w:asciiTheme="minorHAnsi" w:hAnsiTheme="minorHAnsi" w:cstheme="minorHAnsi"/>
              </w:rPr>
              <w:t>C53.0 (</w:t>
            </w:r>
            <w:proofErr w:type="spellStart"/>
            <w:r w:rsidRPr="00D03EB2">
              <w:rPr>
                <w:rFonts w:asciiTheme="minorHAnsi" w:hAnsiTheme="minorHAnsi" w:cstheme="minorHAnsi"/>
              </w:rPr>
              <w:t>endocervix</w:t>
            </w:r>
            <w:proofErr w:type="spellEnd"/>
            <w:r w:rsidRPr="00D03EB2">
              <w:rPr>
                <w:rFonts w:asciiTheme="minorHAnsi" w:hAnsiTheme="minorHAnsi" w:cstheme="minorHAnsi"/>
              </w:rPr>
              <w:t>), C53.1 (</w:t>
            </w:r>
            <w:proofErr w:type="spellStart"/>
            <w:r w:rsidRPr="00D03EB2">
              <w:rPr>
                <w:rFonts w:asciiTheme="minorHAnsi" w:hAnsiTheme="minorHAnsi" w:cstheme="minorHAnsi"/>
              </w:rPr>
              <w:t>exocervix</w:t>
            </w:r>
            <w:proofErr w:type="spellEnd"/>
            <w:r w:rsidRPr="00D03EB2">
              <w:rPr>
                <w:rFonts w:asciiTheme="minorHAnsi" w:hAnsiTheme="minorHAnsi" w:cstheme="minorHAnsi"/>
              </w:rPr>
              <w:t>), C53.8 (overlapping lesions of cervix uteri) and C53.9 (cervix uteri)</w:t>
            </w:r>
          </w:p>
        </w:tc>
      </w:tr>
      <w:tr w:rsidR="00DA4CEA" w:rsidRPr="00D03EB2" w:rsidTr="00E04E0D">
        <w:trPr>
          <w:trHeight w:val="264"/>
          <w:jc w:val="center"/>
        </w:trPr>
        <w:tc>
          <w:tcPr>
            <w:tcW w:w="920" w:type="pct"/>
          </w:tcPr>
          <w:p w:rsidR="00DA4CEA" w:rsidRPr="00D03EB2" w:rsidRDefault="00DA4CEA" w:rsidP="00E04E0D">
            <w:pPr>
              <w:rPr>
                <w:rFonts w:asciiTheme="minorHAnsi" w:hAnsiTheme="minorHAnsi" w:cstheme="minorHAnsi"/>
              </w:rPr>
            </w:pPr>
            <w:r w:rsidRPr="00D03EB2">
              <w:rPr>
                <w:rFonts w:asciiTheme="minorHAnsi" w:hAnsiTheme="minorHAnsi" w:cstheme="minorHAnsi"/>
              </w:rPr>
              <w:t>Behavior</w:t>
            </w:r>
          </w:p>
        </w:tc>
        <w:tc>
          <w:tcPr>
            <w:tcW w:w="4080" w:type="pct"/>
          </w:tcPr>
          <w:p w:rsidR="00DA4CEA" w:rsidRPr="00D03EB2" w:rsidRDefault="00DA4CEA" w:rsidP="00E04E0D">
            <w:pPr>
              <w:rPr>
                <w:rFonts w:asciiTheme="minorHAnsi" w:hAnsiTheme="minorHAnsi" w:cstheme="minorHAnsi"/>
              </w:rPr>
            </w:pPr>
            <w:r w:rsidRPr="00D03EB2">
              <w:rPr>
                <w:rFonts w:asciiTheme="minorHAnsi" w:hAnsiTheme="minorHAnsi" w:cstheme="minorHAnsi"/>
              </w:rPr>
              <w:t>2 (in situ or noninvasive)</w:t>
            </w:r>
          </w:p>
        </w:tc>
      </w:tr>
      <w:tr w:rsidR="00DA4CEA" w:rsidRPr="00D03EB2" w:rsidTr="00E04E0D">
        <w:trPr>
          <w:trHeight w:val="2834"/>
          <w:jc w:val="center"/>
        </w:trPr>
        <w:tc>
          <w:tcPr>
            <w:tcW w:w="920" w:type="pct"/>
          </w:tcPr>
          <w:p w:rsidR="00DA4CEA" w:rsidRPr="00D03EB2" w:rsidRDefault="00DA4CEA" w:rsidP="00E04E0D">
            <w:pPr>
              <w:rPr>
                <w:rFonts w:asciiTheme="minorHAnsi" w:hAnsiTheme="minorHAnsi" w:cstheme="minorHAnsi"/>
              </w:rPr>
            </w:pPr>
            <w:r w:rsidRPr="00D03EB2">
              <w:rPr>
                <w:rFonts w:asciiTheme="minorHAnsi" w:hAnsiTheme="minorHAnsi" w:cstheme="minorHAnsi"/>
              </w:rPr>
              <w:t>Histology</w:t>
            </w:r>
          </w:p>
        </w:tc>
        <w:tc>
          <w:tcPr>
            <w:tcW w:w="4080" w:type="pct"/>
          </w:tcPr>
          <w:p w:rsidR="00DA4CEA" w:rsidRPr="00D03EB2" w:rsidRDefault="00DA4CEA" w:rsidP="00E04E0D">
            <w:pPr>
              <w:rPr>
                <w:rFonts w:asciiTheme="minorHAnsi" w:hAnsiTheme="minorHAnsi" w:cstheme="minorHAnsi"/>
              </w:rPr>
            </w:pPr>
            <w:r w:rsidRPr="00D03EB2">
              <w:rPr>
                <w:rFonts w:asciiTheme="minorHAnsi" w:hAnsiTheme="minorHAnsi" w:cstheme="minorHAnsi"/>
              </w:rPr>
              <w:t xml:space="preserve">     8010/2 Carcinoma in situ, NOS</w:t>
            </w:r>
          </w:p>
          <w:p w:rsidR="00DA4CEA" w:rsidRPr="00D03EB2" w:rsidRDefault="00DA4CEA" w:rsidP="00E04E0D">
            <w:pPr>
              <w:rPr>
                <w:rFonts w:asciiTheme="minorHAnsi" w:hAnsiTheme="minorHAnsi" w:cstheme="minorHAnsi"/>
              </w:rPr>
            </w:pPr>
            <w:r w:rsidRPr="00D03EB2">
              <w:rPr>
                <w:rFonts w:asciiTheme="minorHAnsi" w:hAnsiTheme="minorHAnsi" w:cstheme="minorHAnsi"/>
              </w:rPr>
              <w:t xml:space="preserve">     8050/2 Papillary carcinoma in situ</w:t>
            </w:r>
          </w:p>
          <w:p w:rsidR="00DA4CEA" w:rsidRPr="00D03EB2" w:rsidRDefault="00DA4CEA" w:rsidP="00E04E0D">
            <w:pPr>
              <w:rPr>
                <w:rFonts w:asciiTheme="minorHAnsi" w:hAnsiTheme="minorHAnsi" w:cstheme="minorHAnsi"/>
              </w:rPr>
            </w:pPr>
            <w:r w:rsidRPr="00D03EB2">
              <w:rPr>
                <w:rFonts w:asciiTheme="minorHAnsi" w:hAnsiTheme="minorHAnsi" w:cstheme="minorHAnsi"/>
              </w:rPr>
              <w:t xml:space="preserve">     8052/2 Papillary squamous cell carcinoma, noninvasive</w:t>
            </w:r>
          </w:p>
          <w:p w:rsidR="00DA4CEA" w:rsidRPr="00D03EB2" w:rsidRDefault="00DA4CEA" w:rsidP="00E04E0D">
            <w:pPr>
              <w:rPr>
                <w:rFonts w:asciiTheme="minorHAnsi" w:hAnsiTheme="minorHAnsi" w:cstheme="minorHAnsi"/>
              </w:rPr>
            </w:pPr>
            <w:r w:rsidRPr="00D03EB2">
              <w:rPr>
                <w:rFonts w:asciiTheme="minorHAnsi" w:hAnsiTheme="minorHAnsi" w:cstheme="minorHAnsi"/>
              </w:rPr>
              <w:t xml:space="preserve">     8070/2 Squamous cell carcinoma in situ, NOS</w:t>
            </w:r>
          </w:p>
          <w:p w:rsidR="00DA4CEA" w:rsidRPr="00D03EB2" w:rsidRDefault="00DA4CEA" w:rsidP="00E04E0D">
            <w:pPr>
              <w:rPr>
                <w:rFonts w:asciiTheme="minorHAnsi" w:hAnsiTheme="minorHAnsi" w:cstheme="minorHAnsi"/>
              </w:rPr>
            </w:pPr>
            <w:r w:rsidRPr="00D03EB2">
              <w:rPr>
                <w:rFonts w:asciiTheme="minorHAnsi" w:hAnsiTheme="minorHAnsi" w:cstheme="minorHAnsi"/>
              </w:rPr>
              <w:t xml:space="preserve">     8071/2 Squamous cell carcinoma, keratinizing, NOS, in situ</w:t>
            </w:r>
          </w:p>
          <w:p w:rsidR="00DA4CEA" w:rsidRPr="00D03EB2" w:rsidRDefault="00DA4CEA" w:rsidP="00E04E0D">
            <w:pPr>
              <w:rPr>
                <w:rFonts w:asciiTheme="minorHAnsi" w:hAnsiTheme="minorHAnsi" w:cstheme="minorHAnsi"/>
              </w:rPr>
            </w:pPr>
            <w:r w:rsidRPr="00D03EB2">
              <w:rPr>
                <w:rFonts w:asciiTheme="minorHAnsi" w:hAnsiTheme="minorHAnsi" w:cstheme="minorHAnsi"/>
              </w:rPr>
              <w:t xml:space="preserve">     8072/2 Squamous cell carcinoma, large cell, non-keratinizing, in situ</w:t>
            </w:r>
          </w:p>
          <w:p w:rsidR="00DA4CEA" w:rsidRPr="00D03EB2" w:rsidRDefault="00DA4CEA" w:rsidP="00E04E0D">
            <w:pPr>
              <w:rPr>
                <w:rFonts w:asciiTheme="minorHAnsi" w:hAnsiTheme="minorHAnsi" w:cstheme="minorHAnsi"/>
              </w:rPr>
            </w:pPr>
            <w:r w:rsidRPr="00D03EB2">
              <w:rPr>
                <w:rFonts w:asciiTheme="minorHAnsi" w:hAnsiTheme="minorHAnsi" w:cstheme="minorHAnsi"/>
              </w:rPr>
              <w:t xml:space="preserve">     8076/2 Squamous cell carcinoma in situ w/questionable stromal invasion</w:t>
            </w:r>
          </w:p>
          <w:p w:rsidR="00DA4CEA" w:rsidRPr="00D03EB2" w:rsidRDefault="00DA4CEA" w:rsidP="00E04E0D">
            <w:pPr>
              <w:rPr>
                <w:rFonts w:asciiTheme="minorHAnsi" w:hAnsiTheme="minorHAnsi" w:cstheme="minorHAnsi"/>
              </w:rPr>
            </w:pPr>
            <w:r w:rsidRPr="00D03EB2">
              <w:rPr>
                <w:rFonts w:asciiTheme="minorHAnsi" w:hAnsiTheme="minorHAnsi" w:cstheme="minorHAnsi"/>
              </w:rPr>
              <w:t xml:space="preserve">     8077/2 Squamous intraepithelial neoplasia grade III</w:t>
            </w:r>
          </w:p>
          <w:p w:rsidR="00DA4CEA" w:rsidRDefault="00DA4CEA" w:rsidP="00E04E0D">
            <w:pPr>
              <w:rPr>
                <w:rFonts w:asciiTheme="minorHAnsi" w:hAnsiTheme="minorHAnsi" w:cstheme="minorHAnsi"/>
              </w:rPr>
            </w:pPr>
            <w:r w:rsidRPr="00D03EB2">
              <w:rPr>
                <w:rFonts w:asciiTheme="minorHAnsi" w:hAnsiTheme="minorHAnsi" w:cstheme="minorHAnsi"/>
              </w:rPr>
              <w:t xml:space="preserve">     8140/2 Adenocarcinoma in situ</w:t>
            </w:r>
          </w:p>
          <w:p w:rsidR="00E94956" w:rsidRDefault="00E94956" w:rsidP="00E04E0D">
            <w:pPr>
              <w:rPr>
                <w:rFonts w:asciiTheme="minorHAnsi" w:hAnsiTheme="minorHAnsi" w:cstheme="minorHAnsi"/>
              </w:rPr>
            </w:pPr>
            <w:r>
              <w:rPr>
                <w:rFonts w:asciiTheme="minorHAnsi" w:hAnsiTheme="minorHAnsi" w:cstheme="minorHAnsi"/>
              </w:rPr>
              <w:t xml:space="preserve">     8483/2 Adenocarcinoma in situ, HPV Associated</w:t>
            </w:r>
          </w:p>
          <w:p w:rsidR="00E94956" w:rsidRDefault="00E94956" w:rsidP="00E04E0D">
            <w:pPr>
              <w:rPr>
                <w:rFonts w:asciiTheme="minorHAnsi" w:hAnsiTheme="minorHAnsi" w:cstheme="minorHAnsi"/>
              </w:rPr>
            </w:pPr>
            <w:r>
              <w:rPr>
                <w:rFonts w:asciiTheme="minorHAnsi" w:hAnsiTheme="minorHAnsi" w:cstheme="minorHAnsi"/>
              </w:rPr>
              <w:t xml:space="preserve">     8484/2 Adenocarcinoma in situ, HPV Independent</w:t>
            </w:r>
          </w:p>
          <w:p w:rsidR="00E94956" w:rsidRPr="00D03EB2" w:rsidRDefault="00E94956" w:rsidP="00E04E0D">
            <w:pPr>
              <w:rPr>
                <w:rFonts w:asciiTheme="minorHAnsi" w:hAnsiTheme="minorHAnsi" w:cstheme="minorHAnsi"/>
              </w:rPr>
            </w:pPr>
          </w:p>
          <w:p w:rsidR="00DA4CEA" w:rsidRPr="00D03EB2" w:rsidRDefault="00DA4CEA" w:rsidP="00E04E0D">
            <w:pPr>
              <w:rPr>
                <w:rFonts w:asciiTheme="minorHAnsi" w:hAnsiTheme="minorHAnsi" w:cstheme="minorHAnsi"/>
                <w:b/>
              </w:rPr>
            </w:pPr>
            <w:r>
              <w:rPr>
                <w:rFonts w:asciiTheme="minorHAnsi" w:hAnsiTheme="minorHAnsi" w:cstheme="minorHAnsi"/>
                <w:b/>
              </w:rPr>
              <w:t>See below for o</w:t>
            </w:r>
            <w:r w:rsidRPr="00D03EB2">
              <w:rPr>
                <w:rFonts w:asciiTheme="minorHAnsi" w:hAnsiTheme="minorHAnsi" w:cstheme="minorHAnsi"/>
                <w:b/>
              </w:rPr>
              <w:t>ther histologi</w:t>
            </w:r>
            <w:r>
              <w:rPr>
                <w:rFonts w:asciiTheme="minorHAnsi" w:hAnsiTheme="minorHAnsi" w:cstheme="minorHAnsi"/>
                <w:b/>
              </w:rPr>
              <w:t>es that may be reportable</w:t>
            </w:r>
            <w:r w:rsidRPr="00D03EB2">
              <w:rPr>
                <w:rFonts w:asciiTheme="minorHAnsi" w:hAnsiTheme="minorHAnsi" w:cstheme="minorHAnsi"/>
                <w:b/>
              </w:rPr>
              <w:t xml:space="preserve">.  When in doubt send all potential cases to LTR central office for review </w:t>
            </w:r>
          </w:p>
        </w:tc>
      </w:tr>
      <w:tr w:rsidR="00DA4CEA" w:rsidRPr="00D03EB2" w:rsidTr="00E04E0D">
        <w:trPr>
          <w:trHeight w:val="552"/>
          <w:jc w:val="center"/>
        </w:trPr>
        <w:tc>
          <w:tcPr>
            <w:tcW w:w="920" w:type="pct"/>
          </w:tcPr>
          <w:p w:rsidR="00DA4CEA" w:rsidRPr="00D03EB2" w:rsidRDefault="00DA4CEA" w:rsidP="00E04E0D">
            <w:pPr>
              <w:rPr>
                <w:rFonts w:asciiTheme="minorHAnsi" w:hAnsiTheme="minorHAnsi" w:cstheme="minorHAnsi"/>
              </w:rPr>
            </w:pPr>
            <w:r w:rsidRPr="00D03EB2">
              <w:rPr>
                <w:rFonts w:asciiTheme="minorHAnsi" w:hAnsiTheme="minorHAnsi" w:cstheme="minorHAnsi"/>
              </w:rPr>
              <w:t>Pathologic Classification</w:t>
            </w:r>
          </w:p>
        </w:tc>
        <w:tc>
          <w:tcPr>
            <w:tcW w:w="4080" w:type="pct"/>
          </w:tcPr>
          <w:p w:rsidR="00DA4CEA" w:rsidRPr="005961D3" w:rsidRDefault="00CD7C47" w:rsidP="00E04E0D">
            <w:pPr>
              <w:rPr>
                <w:rFonts w:asciiTheme="minorHAnsi" w:hAnsiTheme="minorHAnsi" w:cstheme="minorHAnsi"/>
                <w:b/>
              </w:rPr>
            </w:pPr>
            <w:bookmarkStart w:id="0" w:name="_GoBack"/>
            <w:r w:rsidRPr="00BE4AC7">
              <w:rPr>
                <w:rFonts w:asciiTheme="minorHAnsi" w:eastAsiaTheme="minorHAnsi" w:hAnsiTheme="minorHAnsi" w:cstheme="minorBidi"/>
              </w:rPr>
              <w:t>CIN III, CIS, AIS, severe dysplasia, HSIL, CIN II if positive for p16, CIN II/III or CIN II-III if positive for p16</w:t>
            </w:r>
            <w:bookmarkEnd w:id="0"/>
            <w:r w:rsidR="008643C4" w:rsidRPr="00AB2EDE">
              <w:rPr>
                <w:rFonts w:cstheme="minorHAnsi"/>
              </w:rPr>
              <w:t>.</w:t>
            </w:r>
            <w:r w:rsidR="008643C4">
              <w:t xml:space="preserve"> </w:t>
            </w:r>
            <w:r w:rsidR="00DA4CEA" w:rsidRPr="005961D3">
              <w:rPr>
                <w:rFonts w:asciiTheme="minorHAnsi" w:hAnsiTheme="minorHAnsi" w:cstheme="minorHAnsi"/>
                <w:b/>
              </w:rPr>
              <w:t>Based on histological diagnosis of pathology report.  Exclude diagnosis based on cytology only</w:t>
            </w:r>
          </w:p>
        </w:tc>
      </w:tr>
      <w:tr w:rsidR="00DA4CEA" w:rsidRPr="00D03EB2" w:rsidTr="00E04E0D">
        <w:trPr>
          <w:trHeight w:val="552"/>
          <w:jc w:val="center"/>
        </w:trPr>
        <w:tc>
          <w:tcPr>
            <w:tcW w:w="920" w:type="pct"/>
          </w:tcPr>
          <w:p w:rsidR="00DA4CEA" w:rsidRPr="00D03EB2" w:rsidRDefault="00DA4CEA" w:rsidP="00E04E0D">
            <w:pPr>
              <w:rPr>
                <w:rFonts w:asciiTheme="minorHAnsi" w:hAnsiTheme="minorHAnsi" w:cstheme="minorHAnsi"/>
              </w:rPr>
            </w:pPr>
            <w:r w:rsidRPr="00D03EB2">
              <w:rPr>
                <w:rFonts w:asciiTheme="minorHAnsi" w:hAnsiTheme="minorHAnsi" w:cstheme="minorHAnsi"/>
              </w:rPr>
              <w:t>Reporting   Period</w:t>
            </w:r>
          </w:p>
        </w:tc>
        <w:tc>
          <w:tcPr>
            <w:tcW w:w="4080" w:type="pct"/>
          </w:tcPr>
          <w:p w:rsidR="00DA4CEA" w:rsidRPr="00D03EB2" w:rsidRDefault="00DA4CEA" w:rsidP="00E04E0D">
            <w:pPr>
              <w:rPr>
                <w:rFonts w:asciiTheme="minorHAnsi" w:hAnsiTheme="minorHAnsi" w:cstheme="minorHAnsi"/>
              </w:rPr>
            </w:pPr>
            <w:r w:rsidRPr="00D03EB2">
              <w:rPr>
                <w:rFonts w:asciiTheme="minorHAnsi" w:hAnsiTheme="minorHAnsi" w:cstheme="minorHAnsi"/>
              </w:rPr>
              <w:t>January 1, 2009 and after</w:t>
            </w:r>
          </w:p>
        </w:tc>
      </w:tr>
      <w:tr w:rsidR="00DA4CEA" w:rsidRPr="00D03EB2" w:rsidTr="00E04E0D">
        <w:trPr>
          <w:trHeight w:val="552"/>
          <w:jc w:val="center"/>
        </w:trPr>
        <w:tc>
          <w:tcPr>
            <w:tcW w:w="920" w:type="pct"/>
          </w:tcPr>
          <w:p w:rsidR="00DA4CEA" w:rsidRPr="00D03EB2" w:rsidRDefault="00DA4CEA" w:rsidP="00E04E0D">
            <w:pPr>
              <w:rPr>
                <w:rFonts w:asciiTheme="minorHAnsi" w:hAnsiTheme="minorHAnsi" w:cstheme="minorHAnsi"/>
              </w:rPr>
            </w:pPr>
            <w:r w:rsidRPr="00D03EB2">
              <w:rPr>
                <w:rFonts w:asciiTheme="minorHAnsi" w:hAnsiTheme="minorHAnsi" w:cstheme="minorHAnsi"/>
              </w:rPr>
              <w:t>Catchment Area</w:t>
            </w:r>
          </w:p>
        </w:tc>
        <w:tc>
          <w:tcPr>
            <w:tcW w:w="4080" w:type="pct"/>
          </w:tcPr>
          <w:p w:rsidR="00DA4CEA" w:rsidRPr="00D03EB2" w:rsidRDefault="00DA4CEA" w:rsidP="00E04E0D">
            <w:pPr>
              <w:rPr>
                <w:rFonts w:asciiTheme="minorHAnsi" w:hAnsiTheme="minorHAnsi" w:cstheme="minorHAnsi"/>
              </w:rPr>
            </w:pPr>
            <w:r w:rsidRPr="00D03EB2">
              <w:rPr>
                <w:rFonts w:asciiTheme="minorHAnsi" w:hAnsiTheme="minorHAnsi" w:cstheme="minorHAnsi"/>
              </w:rPr>
              <w:t>Residents of Louisiana at time of diagnosis.  Includes cases diagnosed out of state.</w:t>
            </w:r>
          </w:p>
        </w:tc>
      </w:tr>
    </w:tbl>
    <w:p w:rsidR="00DA4CEA" w:rsidRDefault="00DA4CEA" w:rsidP="00DA4CEA">
      <w:pPr>
        <w:jc w:val="left"/>
        <w:rPr>
          <w:rFonts w:cstheme="minorHAnsi"/>
          <w:sz w:val="24"/>
          <w:szCs w:val="24"/>
        </w:rPr>
      </w:pPr>
    </w:p>
    <w:p w:rsidR="00DA4CEA" w:rsidRDefault="00DA4CEA" w:rsidP="00AB2EDE">
      <w:pPr>
        <w:numPr>
          <w:ilvl w:val="0"/>
          <w:numId w:val="2"/>
        </w:numPr>
        <w:spacing w:after="120"/>
        <w:jc w:val="both"/>
        <w:rPr>
          <w:sz w:val="24"/>
          <w:szCs w:val="24"/>
        </w:rPr>
      </w:pPr>
      <w:r w:rsidRPr="00D03EB2">
        <w:rPr>
          <w:sz w:val="24"/>
          <w:szCs w:val="24"/>
        </w:rPr>
        <w:lastRenderedPageBreak/>
        <w:t xml:space="preserve">Synonyms for </w:t>
      </w:r>
      <w:r w:rsidRPr="00AB2EDE">
        <w:rPr>
          <w:b/>
          <w:sz w:val="24"/>
          <w:szCs w:val="24"/>
        </w:rPr>
        <w:t>in situ</w:t>
      </w:r>
      <w:r w:rsidRPr="00D03EB2">
        <w:rPr>
          <w:sz w:val="24"/>
          <w:szCs w:val="24"/>
        </w:rPr>
        <w:t xml:space="preserve"> carcinoma may include: CIN grade III, confined to epithelium, intraepidermal, intraepithelial, involvement up to but not including the basement membrane, noninfiltrating, noninvasive, no stromal involvement, papillary noninfiltrating, Stage 0.</w:t>
      </w:r>
    </w:p>
    <w:p w:rsidR="00E94956" w:rsidRPr="00D03EB2" w:rsidRDefault="00E94956" w:rsidP="00AB2EDE">
      <w:pPr>
        <w:numPr>
          <w:ilvl w:val="0"/>
          <w:numId w:val="2"/>
        </w:numPr>
        <w:spacing w:line="360" w:lineRule="auto"/>
        <w:jc w:val="both"/>
        <w:rPr>
          <w:sz w:val="24"/>
          <w:szCs w:val="24"/>
        </w:rPr>
      </w:pPr>
      <w:r>
        <w:rPr>
          <w:sz w:val="24"/>
          <w:szCs w:val="24"/>
        </w:rPr>
        <w:t xml:space="preserve">Synonyms for </w:t>
      </w:r>
      <w:r w:rsidRPr="00AB2EDE">
        <w:rPr>
          <w:b/>
          <w:sz w:val="24"/>
          <w:szCs w:val="24"/>
        </w:rPr>
        <w:t>HSIL</w:t>
      </w:r>
      <w:r>
        <w:rPr>
          <w:sz w:val="24"/>
          <w:szCs w:val="24"/>
        </w:rPr>
        <w:t xml:space="preserve"> may include: High Grade Squamous Dysplasia, High Grade Dysplasia.</w:t>
      </w:r>
    </w:p>
    <w:p w:rsidR="00DA4CEA" w:rsidRPr="00D03EB2" w:rsidRDefault="00DA4CEA" w:rsidP="00AB2EDE">
      <w:pPr>
        <w:numPr>
          <w:ilvl w:val="0"/>
          <w:numId w:val="1"/>
        </w:numPr>
        <w:spacing w:after="120"/>
        <w:jc w:val="both"/>
        <w:rPr>
          <w:sz w:val="24"/>
          <w:szCs w:val="24"/>
        </w:rPr>
      </w:pPr>
      <w:r w:rsidRPr="00D03EB2">
        <w:rPr>
          <w:sz w:val="24"/>
          <w:szCs w:val="24"/>
        </w:rPr>
        <w:t>All cases diagnosed as “</w:t>
      </w:r>
      <w:r w:rsidRPr="00D03EB2">
        <w:rPr>
          <w:b/>
          <w:sz w:val="24"/>
          <w:szCs w:val="24"/>
        </w:rPr>
        <w:t>CIN III</w:t>
      </w:r>
      <w:r w:rsidRPr="00D03EB2">
        <w:rPr>
          <w:sz w:val="24"/>
          <w:szCs w:val="24"/>
        </w:rPr>
        <w:t>”, “</w:t>
      </w:r>
      <w:r w:rsidRPr="00D03EB2">
        <w:rPr>
          <w:b/>
          <w:sz w:val="24"/>
          <w:szCs w:val="24"/>
        </w:rPr>
        <w:t>CIS</w:t>
      </w:r>
      <w:r w:rsidRPr="00D03EB2">
        <w:rPr>
          <w:sz w:val="24"/>
          <w:szCs w:val="24"/>
        </w:rPr>
        <w:t>”, or “</w:t>
      </w:r>
      <w:r w:rsidRPr="00D03EB2">
        <w:rPr>
          <w:b/>
          <w:sz w:val="24"/>
          <w:szCs w:val="24"/>
        </w:rPr>
        <w:t>AIS</w:t>
      </w:r>
      <w:r w:rsidRPr="00D03EB2">
        <w:rPr>
          <w:sz w:val="24"/>
          <w:szCs w:val="24"/>
        </w:rPr>
        <w:t>” are eligible. If a pathologist does not use the CIN terminology and only provides an assessment using the dysplasia scale then cases listed as “severe dysplasia” are eligible but cases with any other terms are ineligible</w:t>
      </w:r>
      <w:r w:rsidR="00CD7C47">
        <w:rPr>
          <w:sz w:val="24"/>
          <w:szCs w:val="24"/>
        </w:rPr>
        <w:t xml:space="preserve"> for diagnosis years 2009-2018</w:t>
      </w:r>
      <w:r w:rsidRPr="00D03EB2">
        <w:rPr>
          <w:sz w:val="24"/>
          <w:szCs w:val="24"/>
        </w:rPr>
        <w:t xml:space="preserve">. Cases diagnosed as “CIN II/III” or cases using the Bethesda classification of “high-grade SIL” </w:t>
      </w:r>
      <w:r w:rsidRPr="00D03EB2">
        <w:rPr>
          <w:i/>
          <w:sz w:val="24"/>
          <w:szCs w:val="24"/>
        </w:rPr>
        <w:t>only</w:t>
      </w:r>
      <w:r w:rsidRPr="00D03EB2">
        <w:rPr>
          <w:sz w:val="24"/>
          <w:szCs w:val="24"/>
        </w:rPr>
        <w:t xml:space="preserve"> </w:t>
      </w:r>
      <w:r w:rsidR="00CD7C47">
        <w:rPr>
          <w:sz w:val="24"/>
          <w:szCs w:val="24"/>
        </w:rPr>
        <w:t>became reportable as of January, 1 2019</w:t>
      </w:r>
      <w:r w:rsidRPr="00D03EB2">
        <w:rPr>
          <w:sz w:val="24"/>
          <w:szCs w:val="24"/>
        </w:rPr>
        <w:t xml:space="preserve">.  </w:t>
      </w:r>
      <w:bookmarkStart w:id="1" w:name="_Toc200514558"/>
      <w:bookmarkStart w:id="2" w:name="_Toc200514636"/>
      <w:bookmarkStart w:id="3" w:name="_Toc200514682"/>
      <w:bookmarkStart w:id="4" w:name="_Toc200515001"/>
      <w:bookmarkEnd w:id="1"/>
      <w:bookmarkEnd w:id="2"/>
      <w:bookmarkEnd w:id="3"/>
      <w:bookmarkEnd w:id="4"/>
    </w:p>
    <w:p w:rsidR="00DA4CEA" w:rsidRPr="00D03EB2" w:rsidRDefault="00DA4CEA" w:rsidP="00AB2EDE">
      <w:pPr>
        <w:numPr>
          <w:ilvl w:val="0"/>
          <w:numId w:val="1"/>
        </w:numPr>
        <w:spacing w:after="120"/>
        <w:jc w:val="both"/>
        <w:rPr>
          <w:sz w:val="24"/>
          <w:szCs w:val="24"/>
        </w:rPr>
      </w:pPr>
      <w:r w:rsidRPr="00D03EB2">
        <w:rPr>
          <w:sz w:val="24"/>
          <w:szCs w:val="24"/>
        </w:rPr>
        <w:t xml:space="preserve">For any case that comes in with a histology code other than those listed, go ahead and send the pathology report to LTR for review to make sure it is not an invasive lesion (path report should specifically indicate “in situ” behavior) and that the histology has been coded accurately.  </w:t>
      </w:r>
    </w:p>
    <w:p w:rsidR="00DA4CEA" w:rsidRPr="00D03EB2" w:rsidRDefault="00DA4CEA" w:rsidP="00DA4CEA">
      <w:pPr>
        <w:numPr>
          <w:ilvl w:val="0"/>
          <w:numId w:val="3"/>
        </w:numPr>
        <w:jc w:val="both"/>
        <w:rPr>
          <w:sz w:val="24"/>
          <w:szCs w:val="24"/>
        </w:rPr>
      </w:pPr>
      <w:r w:rsidRPr="00D03EB2">
        <w:rPr>
          <w:sz w:val="24"/>
          <w:szCs w:val="24"/>
        </w:rPr>
        <w:t>Cases are eligible for this study if they occurred among women who were residents of Louisiana at the time of their diagnosis. Therefore, reports from in-State facilities for out-of-State residents will be excluded.</w:t>
      </w:r>
    </w:p>
    <w:p w:rsidR="00DA4CEA" w:rsidRDefault="00DA4CEA" w:rsidP="00DA4CEA">
      <w:pPr>
        <w:jc w:val="left"/>
        <w:rPr>
          <w:rFonts w:cstheme="minorHAnsi"/>
          <w:sz w:val="24"/>
          <w:szCs w:val="24"/>
        </w:rPr>
      </w:pPr>
    </w:p>
    <w:p w:rsidR="00DA4CEA" w:rsidRDefault="00DA4CEA" w:rsidP="00DA4CEA">
      <w:pPr>
        <w:jc w:val="left"/>
        <w:rPr>
          <w:rFonts w:ascii="Arial" w:hAnsi="Arial" w:cs="Arial"/>
          <w:b/>
          <w:color w:val="4B3A60"/>
          <w:sz w:val="24"/>
          <w:szCs w:val="24"/>
          <w:u w:val="single"/>
        </w:rPr>
      </w:pPr>
    </w:p>
    <w:p w:rsidR="00DA4CEA" w:rsidRDefault="00DA4CEA" w:rsidP="00DA4CEA">
      <w:pPr>
        <w:jc w:val="left"/>
        <w:rPr>
          <w:rFonts w:ascii="Arial" w:hAnsi="Arial" w:cs="Arial"/>
          <w:b/>
          <w:color w:val="4B3A60"/>
          <w:sz w:val="24"/>
          <w:szCs w:val="24"/>
          <w:u w:val="single"/>
        </w:rPr>
      </w:pPr>
      <w:r w:rsidRPr="00DA4CEA">
        <w:rPr>
          <w:rFonts w:ascii="Arial" w:hAnsi="Arial" w:cs="Arial"/>
          <w:b/>
          <w:color w:val="4B3A60"/>
          <w:sz w:val="24"/>
          <w:szCs w:val="24"/>
          <w:u w:val="single"/>
        </w:rPr>
        <w:t>Reporting Options</w:t>
      </w:r>
    </w:p>
    <w:p w:rsidR="009408B2" w:rsidRDefault="009408B2" w:rsidP="00DA4CEA">
      <w:pPr>
        <w:jc w:val="left"/>
        <w:rPr>
          <w:rFonts w:ascii="Arial" w:hAnsi="Arial" w:cs="Arial"/>
          <w:b/>
          <w:color w:val="4B3A60"/>
          <w:sz w:val="24"/>
          <w:szCs w:val="24"/>
          <w:u w:val="single"/>
        </w:rPr>
      </w:pPr>
    </w:p>
    <w:p w:rsidR="009408B2" w:rsidRDefault="00DA4CEA" w:rsidP="00AB2EDE">
      <w:pPr>
        <w:jc w:val="both"/>
        <w:rPr>
          <w:rFonts w:cstheme="minorHAnsi"/>
          <w:bCs/>
          <w:sz w:val="24"/>
          <w:szCs w:val="24"/>
        </w:rPr>
      </w:pPr>
      <w:r>
        <w:rPr>
          <w:rFonts w:cstheme="minorHAnsi"/>
          <w:bCs/>
          <w:sz w:val="24"/>
          <w:szCs w:val="24"/>
        </w:rPr>
        <w:t xml:space="preserve">Hospitals, facilities and healthcare providers can use the following options </w:t>
      </w:r>
      <w:r w:rsidRPr="00D109E8">
        <w:rPr>
          <w:rFonts w:cstheme="minorHAnsi"/>
          <w:bCs/>
          <w:sz w:val="24"/>
          <w:szCs w:val="24"/>
        </w:rPr>
        <w:t xml:space="preserve">to comply with the </w:t>
      </w:r>
      <w:r>
        <w:rPr>
          <w:rFonts w:cstheme="minorHAnsi"/>
          <w:bCs/>
          <w:sz w:val="24"/>
          <w:szCs w:val="24"/>
        </w:rPr>
        <w:t xml:space="preserve">LTR </w:t>
      </w:r>
      <w:r w:rsidRPr="00D109E8">
        <w:rPr>
          <w:rFonts w:cstheme="minorHAnsi"/>
          <w:bCs/>
          <w:sz w:val="24"/>
          <w:szCs w:val="24"/>
        </w:rPr>
        <w:t xml:space="preserve">reporting </w:t>
      </w:r>
      <w:r>
        <w:rPr>
          <w:rFonts w:cstheme="minorHAnsi"/>
          <w:bCs/>
          <w:sz w:val="24"/>
          <w:szCs w:val="24"/>
        </w:rPr>
        <w:t>requirements of CIN</w:t>
      </w:r>
      <w:r w:rsidR="00214693">
        <w:rPr>
          <w:rFonts w:cstheme="minorHAnsi"/>
          <w:bCs/>
          <w:sz w:val="24"/>
          <w:szCs w:val="24"/>
        </w:rPr>
        <w:t xml:space="preserve"> III</w:t>
      </w:r>
      <w:r w:rsidR="009408B2">
        <w:rPr>
          <w:rFonts w:cstheme="minorHAnsi"/>
          <w:bCs/>
          <w:sz w:val="24"/>
          <w:szCs w:val="24"/>
        </w:rPr>
        <w:t>:</w:t>
      </w:r>
    </w:p>
    <w:p w:rsidR="009408B2" w:rsidRDefault="009408B2" w:rsidP="00AB2EDE">
      <w:pPr>
        <w:jc w:val="both"/>
        <w:rPr>
          <w:rFonts w:cstheme="minorHAnsi"/>
          <w:bCs/>
          <w:sz w:val="24"/>
          <w:szCs w:val="24"/>
        </w:rPr>
      </w:pPr>
    </w:p>
    <w:p w:rsidR="009408B2" w:rsidRDefault="009408B2" w:rsidP="00AB2EDE">
      <w:pPr>
        <w:pStyle w:val="ListParagraph"/>
        <w:numPr>
          <w:ilvl w:val="0"/>
          <w:numId w:val="3"/>
        </w:numPr>
        <w:spacing w:after="120"/>
        <w:contextualSpacing w:val="0"/>
        <w:jc w:val="both"/>
        <w:rPr>
          <w:rFonts w:cstheme="minorHAnsi"/>
          <w:bCs/>
          <w:sz w:val="24"/>
          <w:szCs w:val="24"/>
        </w:rPr>
      </w:pPr>
      <w:r w:rsidRPr="009408B2">
        <w:rPr>
          <w:rFonts w:cstheme="minorHAnsi"/>
          <w:bCs/>
          <w:sz w:val="24"/>
          <w:szCs w:val="24"/>
        </w:rPr>
        <w:t>T</w:t>
      </w:r>
      <w:r w:rsidR="00DA4CEA" w:rsidRPr="009408B2">
        <w:rPr>
          <w:rFonts w:cstheme="minorHAnsi"/>
          <w:bCs/>
          <w:sz w:val="24"/>
          <w:szCs w:val="24"/>
        </w:rPr>
        <w:t>ransmit</w:t>
      </w:r>
      <w:r>
        <w:rPr>
          <w:rFonts w:cstheme="minorHAnsi"/>
          <w:bCs/>
          <w:sz w:val="24"/>
          <w:szCs w:val="24"/>
        </w:rPr>
        <w:t xml:space="preserve"> </w:t>
      </w:r>
      <w:r w:rsidR="00DA4CEA" w:rsidRPr="009408B2">
        <w:rPr>
          <w:rFonts w:cstheme="minorHAnsi"/>
          <w:bCs/>
          <w:sz w:val="24"/>
          <w:szCs w:val="24"/>
        </w:rPr>
        <w:t>electronic pathology reports of cancer diagnosis from your facilities to LTR in real time and provide the basic demographic data</w:t>
      </w:r>
    </w:p>
    <w:p w:rsidR="009408B2" w:rsidRDefault="009408B2" w:rsidP="00AB2EDE">
      <w:pPr>
        <w:pStyle w:val="ListParagraph"/>
        <w:numPr>
          <w:ilvl w:val="0"/>
          <w:numId w:val="3"/>
        </w:numPr>
        <w:spacing w:after="120"/>
        <w:jc w:val="both"/>
        <w:rPr>
          <w:rFonts w:cstheme="minorHAnsi"/>
          <w:bCs/>
          <w:sz w:val="24"/>
          <w:szCs w:val="24"/>
        </w:rPr>
      </w:pPr>
      <w:r>
        <w:rPr>
          <w:rFonts w:cstheme="minorHAnsi"/>
          <w:bCs/>
          <w:sz w:val="24"/>
          <w:szCs w:val="24"/>
        </w:rPr>
        <w:t>Report</w:t>
      </w:r>
      <w:r w:rsidR="00DA4CEA" w:rsidRPr="009408B2">
        <w:rPr>
          <w:rFonts w:cstheme="minorHAnsi"/>
          <w:bCs/>
          <w:sz w:val="24"/>
          <w:szCs w:val="24"/>
        </w:rPr>
        <w:t xml:space="preserve"> cases using LTR online tool (designed specifically for CIN</w:t>
      </w:r>
      <w:r w:rsidR="00214693">
        <w:rPr>
          <w:rFonts w:cstheme="minorHAnsi"/>
          <w:bCs/>
          <w:sz w:val="24"/>
          <w:szCs w:val="24"/>
        </w:rPr>
        <w:t xml:space="preserve"> III</w:t>
      </w:r>
      <w:r>
        <w:rPr>
          <w:rFonts w:cstheme="minorHAnsi"/>
          <w:bCs/>
          <w:sz w:val="24"/>
          <w:szCs w:val="24"/>
        </w:rPr>
        <w:t xml:space="preserve"> cas</w:t>
      </w:r>
      <w:r w:rsidR="00DA4CEA" w:rsidRPr="009408B2">
        <w:rPr>
          <w:rFonts w:cstheme="minorHAnsi"/>
          <w:bCs/>
          <w:sz w:val="24"/>
          <w:szCs w:val="24"/>
        </w:rPr>
        <w:t>es) and secure website</w:t>
      </w:r>
    </w:p>
    <w:p w:rsidR="00C74E65" w:rsidRPr="00B86B11" w:rsidRDefault="00C74E65" w:rsidP="00AB2EDE">
      <w:pPr>
        <w:pStyle w:val="ListParagraph"/>
        <w:spacing w:after="120"/>
        <w:ind w:left="360"/>
        <w:jc w:val="both"/>
        <w:rPr>
          <w:rFonts w:cstheme="minorHAnsi"/>
          <w:bCs/>
          <w:sz w:val="12"/>
          <w:szCs w:val="12"/>
        </w:rPr>
      </w:pPr>
    </w:p>
    <w:p w:rsidR="009408B2" w:rsidRDefault="009408B2" w:rsidP="00AB2EDE">
      <w:pPr>
        <w:pStyle w:val="ListParagraph"/>
        <w:numPr>
          <w:ilvl w:val="0"/>
          <w:numId w:val="3"/>
        </w:numPr>
        <w:jc w:val="both"/>
        <w:rPr>
          <w:rFonts w:cstheme="minorHAnsi"/>
          <w:bCs/>
          <w:sz w:val="24"/>
          <w:szCs w:val="24"/>
        </w:rPr>
      </w:pPr>
      <w:r>
        <w:rPr>
          <w:rFonts w:cstheme="minorHAnsi"/>
          <w:bCs/>
          <w:sz w:val="24"/>
          <w:szCs w:val="24"/>
        </w:rPr>
        <w:t>T</w:t>
      </w:r>
      <w:r w:rsidR="00DA4CEA" w:rsidRPr="009408B2">
        <w:rPr>
          <w:rFonts w:cstheme="minorHAnsi"/>
          <w:bCs/>
          <w:sz w:val="24"/>
          <w:szCs w:val="24"/>
        </w:rPr>
        <w:t xml:space="preserve">ransmit hard copies of pathology reports with demographic and FU information via </w:t>
      </w:r>
      <w:proofErr w:type="spellStart"/>
      <w:r w:rsidR="00DA4CEA" w:rsidRPr="009408B2">
        <w:rPr>
          <w:rFonts w:cstheme="minorHAnsi"/>
          <w:bCs/>
          <w:sz w:val="24"/>
          <w:szCs w:val="24"/>
        </w:rPr>
        <w:t>WebPlus</w:t>
      </w:r>
      <w:proofErr w:type="spellEnd"/>
      <w:r w:rsidR="00DA4CEA" w:rsidRPr="009408B2">
        <w:rPr>
          <w:rFonts w:cstheme="minorHAnsi"/>
          <w:bCs/>
          <w:sz w:val="24"/>
          <w:szCs w:val="24"/>
        </w:rPr>
        <w:t xml:space="preserve"> or fax/courier</w:t>
      </w:r>
    </w:p>
    <w:p w:rsidR="00C74E65" w:rsidRPr="00AB2EDE" w:rsidRDefault="00C74E65" w:rsidP="00AB2EDE">
      <w:pPr>
        <w:jc w:val="both"/>
        <w:rPr>
          <w:rFonts w:cstheme="minorHAnsi"/>
          <w:bCs/>
          <w:sz w:val="12"/>
          <w:szCs w:val="12"/>
        </w:rPr>
      </w:pPr>
    </w:p>
    <w:p w:rsidR="00DA4CEA" w:rsidRPr="009408B2" w:rsidRDefault="009408B2" w:rsidP="00AB2EDE">
      <w:pPr>
        <w:pStyle w:val="ListParagraph"/>
        <w:numPr>
          <w:ilvl w:val="0"/>
          <w:numId w:val="3"/>
        </w:numPr>
        <w:jc w:val="both"/>
        <w:rPr>
          <w:rFonts w:cstheme="minorHAnsi"/>
          <w:bCs/>
          <w:sz w:val="24"/>
          <w:szCs w:val="24"/>
        </w:rPr>
      </w:pPr>
      <w:r>
        <w:rPr>
          <w:rFonts w:cstheme="minorHAnsi"/>
          <w:bCs/>
          <w:sz w:val="24"/>
          <w:szCs w:val="24"/>
        </w:rPr>
        <w:t>A</w:t>
      </w:r>
      <w:r w:rsidR="00DA4CEA" w:rsidRPr="009408B2">
        <w:rPr>
          <w:rFonts w:cstheme="minorHAnsi"/>
          <w:bCs/>
          <w:sz w:val="24"/>
          <w:szCs w:val="24"/>
        </w:rPr>
        <w:t xml:space="preserve">llow LTR staff access to medical records to abstract such cancer cases every month. </w:t>
      </w:r>
    </w:p>
    <w:p w:rsidR="00DA4CEA" w:rsidRPr="00DA4CEA" w:rsidRDefault="00DA4CEA" w:rsidP="00AB2EDE">
      <w:pPr>
        <w:jc w:val="both"/>
      </w:pPr>
    </w:p>
    <w:sectPr w:rsidR="00DA4CEA" w:rsidRPr="00DA4CEA" w:rsidSect="00DA4CEA">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C47" w:rsidRDefault="00CD7C47" w:rsidP="00CD7C47">
      <w:r>
        <w:separator/>
      </w:r>
    </w:p>
  </w:endnote>
  <w:endnote w:type="continuationSeparator" w:id="0">
    <w:p w:rsidR="00CD7C47" w:rsidRDefault="00CD7C47" w:rsidP="00CD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11" w:rsidRDefault="00B86B11">
    <w:pPr>
      <w:pStyle w:val="Footer"/>
    </w:pPr>
    <w:r>
      <w:t>Revised 11/16/2022</w:t>
    </w:r>
    <w:r>
      <w:ptab w:relativeTo="margin" w:alignment="center" w:leader="none"/>
    </w:r>
    <w:r>
      <w:ptab w:relativeTo="margin" w:alignment="right" w:leader="none"/>
    </w:r>
    <w:sdt>
      <w:sdtPr>
        <w:id w:val="100664059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484A1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4A14">
              <w:rPr>
                <w:b/>
                <w:bCs/>
                <w:noProof/>
              </w:rPr>
              <w:t>2</w:t>
            </w:r>
            <w:r>
              <w:rPr>
                <w:b/>
                <w:bCs/>
                <w:sz w:val="24"/>
                <w:szCs w:val="24"/>
              </w:rPr>
              <w:fldChar w:fldCharType="end"/>
            </w:r>
          </w:sdtContent>
        </w:sdt>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C47" w:rsidRDefault="00CD7C47" w:rsidP="00CD7C47">
      <w:r>
        <w:separator/>
      </w:r>
    </w:p>
  </w:footnote>
  <w:footnote w:type="continuationSeparator" w:id="0">
    <w:p w:rsidR="00CD7C47" w:rsidRDefault="00CD7C47" w:rsidP="00CD7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87B"/>
    <w:multiLevelType w:val="hybridMultilevel"/>
    <w:tmpl w:val="6B1C9A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AC0BFE"/>
    <w:multiLevelType w:val="multilevel"/>
    <w:tmpl w:val="854653C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72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610F425F"/>
    <w:multiLevelType w:val="multilevel"/>
    <w:tmpl w:val="D4401AE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72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EA"/>
    <w:rsid w:val="00214693"/>
    <w:rsid w:val="00484A14"/>
    <w:rsid w:val="008643C4"/>
    <w:rsid w:val="008F083B"/>
    <w:rsid w:val="009408B2"/>
    <w:rsid w:val="00995D41"/>
    <w:rsid w:val="00AB2EDE"/>
    <w:rsid w:val="00B86B11"/>
    <w:rsid w:val="00BE4AC7"/>
    <w:rsid w:val="00C74E65"/>
    <w:rsid w:val="00CD7C47"/>
    <w:rsid w:val="00D41A29"/>
    <w:rsid w:val="00DA4CEA"/>
    <w:rsid w:val="00E9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D751327-D4EF-4498-A684-DDCEC37C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CEA"/>
    <w:pPr>
      <w:jc w:val="left"/>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408B2"/>
    <w:pPr>
      <w:ind w:left="720"/>
      <w:contextualSpacing/>
    </w:pPr>
  </w:style>
  <w:style w:type="paragraph" w:styleId="BalloonText">
    <w:name w:val="Balloon Text"/>
    <w:basedOn w:val="Normal"/>
    <w:link w:val="BalloonTextChar"/>
    <w:uiPriority w:val="99"/>
    <w:semiHidden/>
    <w:unhideWhenUsed/>
    <w:rsid w:val="00D41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A29"/>
    <w:rPr>
      <w:rFonts w:ascii="Segoe UI" w:hAnsi="Segoe UI" w:cs="Segoe UI"/>
      <w:sz w:val="18"/>
      <w:szCs w:val="18"/>
    </w:rPr>
  </w:style>
  <w:style w:type="paragraph" w:styleId="Header">
    <w:name w:val="header"/>
    <w:basedOn w:val="Normal"/>
    <w:link w:val="HeaderChar"/>
    <w:uiPriority w:val="99"/>
    <w:unhideWhenUsed/>
    <w:rsid w:val="00CD7C47"/>
    <w:pPr>
      <w:tabs>
        <w:tab w:val="center" w:pos="4680"/>
        <w:tab w:val="right" w:pos="9360"/>
      </w:tabs>
    </w:pPr>
  </w:style>
  <w:style w:type="character" w:customStyle="1" w:styleId="HeaderChar">
    <w:name w:val="Header Char"/>
    <w:basedOn w:val="DefaultParagraphFont"/>
    <w:link w:val="Header"/>
    <w:uiPriority w:val="99"/>
    <w:rsid w:val="00CD7C47"/>
  </w:style>
  <w:style w:type="paragraph" w:styleId="Footer">
    <w:name w:val="footer"/>
    <w:basedOn w:val="Normal"/>
    <w:link w:val="FooterChar"/>
    <w:uiPriority w:val="99"/>
    <w:unhideWhenUsed/>
    <w:rsid w:val="00CD7C47"/>
    <w:pPr>
      <w:tabs>
        <w:tab w:val="center" w:pos="4680"/>
        <w:tab w:val="right" w:pos="9360"/>
      </w:tabs>
    </w:pPr>
  </w:style>
  <w:style w:type="character" w:customStyle="1" w:styleId="FooterChar">
    <w:name w:val="Footer Char"/>
    <w:basedOn w:val="DefaultParagraphFont"/>
    <w:link w:val="Footer"/>
    <w:uiPriority w:val="99"/>
    <w:rsid w:val="00CD7C47"/>
  </w:style>
  <w:style w:type="paragraph" w:styleId="Revision">
    <w:name w:val="Revision"/>
    <w:hidden/>
    <w:uiPriority w:val="99"/>
    <w:semiHidden/>
    <w:rsid w:val="008643C4"/>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8188D-33A7-4764-BCC3-531341196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lparet</dc:creator>
  <cp:keywords/>
  <dc:description/>
  <cp:lastModifiedBy>Lisa Pareti</cp:lastModifiedBy>
  <cp:revision>2</cp:revision>
  <dcterms:created xsi:type="dcterms:W3CDTF">2022-11-17T17:26:00Z</dcterms:created>
  <dcterms:modified xsi:type="dcterms:W3CDTF">2022-11-17T17:26:00Z</dcterms:modified>
</cp:coreProperties>
</file>